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462A" w14:textId="77777777" w:rsidR="001603E4" w:rsidRDefault="001603E4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1603E4" w14:paraId="4147F9C8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9592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>Session Title:</w:t>
            </w:r>
          </w:p>
          <w:p w14:paraId="06D9D37D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26E4" w14:textId="6EED41F5" w:rsidR="001603E4" w:rsidRDefault="002C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Subject Focused, Student Driven </w:t>
            </w:r>
          </w:p>
        </w:tc>
      </w:tr>
      <w:tr w:rsidR="001603E4" w14:paraId="0BDD9BBD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385D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>Speaker(s):</w:t>
            </w:r>
          </w:p>
          <w:p w14:paraId="7DECFEEE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E4AE" w14:textId="0FEB2335" w:rsidR="0088590D" w:rsidRDefault="00885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CD10C6">
              <w:rPr>
                <w:b/>
              </w:rPr>
              <w:t>Gabriella Smith</w:t>
            </w:r>
          </w:p>
        </w:tc>
      </w:tr>
      <w:tr w:rsidR="001603E4" w14:paraId="04482F8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61CC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  <w:p w14:paraId="2330BB88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23E1" w14:textId="37BF0F60" w:rsidR="001603E4" w:rsidRDefault="00E82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George Green</w:t>
            </w:r>
          </w:p>
        </w:tc>
      </w:tr>
      <w:tr w:rsidR="001603E4" w14:paraId="4B321E48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12A1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 xml:space="preserve">Reporter: </w:t>
            </w:r>
          </w:p>
          <w:p w14:paraId="3AB8A599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A2C4" w14:textId="54B9795B" w:rsidR="001603E4" w:rsidRDefault="00885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George Green</w:t>
            </w:r>
          </w:p>
        </w:tc>
      </w:tr>
    </w:tbl>
    <w:p w14:paraId="5CC08B45" w14:textId="77777777" w:rsidR="001603E4" w:rsidRDefault="001603E4">
      <w:pPr>
        <w:rPr>
          <w:b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880"/>
      </w:tblGrid>
      <w:tr w:rsidR="001603E4" w14:paraId="7AFD7906" w14:textId="77777777">
        <w:trPr>
          <w:trHeight w:val="141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AB1C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>Speaker/Institution Bio/Information: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F2E9" w14:textId="728484F6" w:rsidR="001603E4" w:rsidRDefault="00E82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University of South Wales</w:t>
            </w:r>
          </w:p>
          <w:p w14:paraId="11D0313C" w14:textId="3315C177" w:rsidR="00E820DF" w:rsidRPr="00E820DF" w:rsidRDefault="00E820DF" w:rsidP="00E820DF">
            <w:pPr>
              <w:jc w:val="center"/>
            </w:pPr>
          </w:p>
        </w:tc>
      </w:tr>
      <w:tr w:rsidR="001603E4" w14:paraId="3C9B74C6" w14:textId="77777777">
        <w:trPr>
          <w:trHeight w:val="156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DE27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>Overview/Aim of session: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BEE9" w14:textId="77777777" w:rsidR="00CD10C6" w:rsidRDefault="00CD1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Examining how to tailor content to different audiences, balance the academic and admissions input, and use data to evaluate success. </w:t>
            </w:r>
          </w:p>
          <w:p w14:paraId="587497EC" w14:textId="77777777" w:rsidR="00CD10C6" w:rsidRDefault="00CD1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A0F6B7C" w14:textId="70E4C8EE" w:rsidR="00E171A4" w:rsidRDefault="00CD1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Shared practical insights and ideas to take back to their own institutions, whether they’re refining established events or starting something new.</w:t>
            </w:r>
            <w:r w:rsidR="00E171A4">
              <w:rPr>
                <w:b/>
              </w:rPr>
              <w:t xml:space="preserve"> </w:t>
            </w:r>
          </w:p>
        </w:tc>
      </w:tr>
      <w:tr w:rsidR="001603E4" w14:paraId="3C6B860D" w14:textId="77777777">
        <w:trPr>
          <w:trHeight w:val="182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AC2B" w14:textId="77777777" w:rsidR="001603E4" w:rsidRPr="00B25DE1" w:rsidRDefault="00DA5923">
            <w:pPr>
              <w:rPr>
                <w:bCs/>
              </w:rPr>
            </w:pPr>
            <w:bookmarkStart w:id="0" w:name="_Hlk124420726"/>
            <w:r w:rsidRPr="00B25DE1">
              <w:rPr>
                <w:bCs/>
              </w:rPr>
              <w:t>Workshop Content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7329" w14:textId="77777777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Importance of subject-specific recruitment events in influencing student choice</w:t>
            </w:r>
          </w:p>
          <w:p w14:paraId="45F1EDEA" w14:textId="77777777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Role of events in building long-term relationships with teachers and advisers</w:t>
            </w:r>
          </w:p>
          <w:p w14:paraId="2463EC58" w14:textId="77777777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Common pitfalls of recruitment events (e.g. too generic, unclear outcomes, low follow-up)</w:t>
            </w:r>
          </w:p>
          <w:p w14:paraId="06714B07" w14:textId="6FE0F6AB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Tailoring event content for different audiences:</w:t>
            </w:r>
          </w:p>
          <w:p w14:paraId="435810DA" w14:textId="77777777" w:rsidR="00B25DE1" w:rsidRPr="00B25DE1" w:rsidRDefault="00B25DE1" w:rsidP="00B25D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Prospective students</w:t>
            </w:r>
          </w:p>
          <w:p w14:paraId="248B55B6" w14:textId="77777777" w:rsidR="00B25DE1" w:rsidRPr="00B25DE1" w:rsidRDefault="00B25DE1" w:rsidP="00B25D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Teachers and advisers</w:t>
            </w:r>
          </w:p>
          <w:p w14:paraId="34451FF8" w14:textId="77777777" w:rsidR="00B25DE1" w:rsidRPr="00B25DE1" w:rsidRDefault="00B25DE1" w:rsidP="00B25DE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Parents/carers</w:t>
            </w:r>
          </w:p>
          <w:p w14:paraId="6432AEF4" w14:textId="5AE8389F" w:rsidR="00B25DE1" w:rsidRPr="00B25DE1" w:rsidRDefault="00B25DE1" w:rsidP="00B25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 xml:space="preserve"> Balancing academic input vs admissions/marketing input</w:t>
            </w:r>
          </w:p>
          <w:p w14:paraId="71B93554" w14:textId="77777777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Ensuring academics understand recruitment goals and messaging</w:t>
            </w:r>
          </w:p>
          <w:p w14:paraId="3E92EC5E" w14:textId="6F538243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 xml:space="preserve"> Using interactive and experiential activities rather than lecture-style delivery</w:t>
            </w:r>
          </w:p>
          <w:p w14:paraId="2FE5BFE3" w14:textId="77777777" w:rsidR="00B25DE1" w:rsidRPr="00B25DE1" w:rsidRDefault="00B25DE1" w:rsidP="00B25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</w:p>
          <w:p w14:paraId="2582A47F" w14:textId="1821AF0A" w:rsidR="00B25DE1" w:rsidRPr="00B25DE1" w:rsidRDefault="00B25DE1" w:rsidP="00B25DE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Aligning events with widening participation and access objectives</w:t>
            </w:r>
          </w:p>
          <w:p w14:paraId="1FED6784" w14:textId="3E36AB42" w:rsidR="00B25DE1" w:rsidRPr="00B25DE1" w:rsidRDefault="00B25DE1" w:rsidP="00B25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 xml:space="preserve"> Using data and feedback to evaluate event success:</w:t>
            </w:r>
          </w:p>
          <w:p w14:paraId="71A90273" w14:textId="77777777" w:rsidR="00B25DE1" w:rsidRPr="00B25DE1" w:rsidRDefault="00B25DE1" w:rsidP="00B25D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Attendance vs conversion</w:t>
            </w:r>
          </w:p>
          <w:p w14:paraId="7BCFEB43" w14:textId="77777777" w:rsidR="00B25DE1" w:rsidRPr="00B25DE1" w:rsidRDefault="00B25DE1" w:rsidP="00B25D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Subject interest uplift</w:t>
            </w:r>
          </w:p>
          <w:p w14:paraId="72816259" w14:textId="77777777" w:rsidR="00B25DE1" w:rsidRPr="00B25DE1" w:rsidRDefault="00B25DE1" w:rsidP="00B25DE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>Teacher/adviser feedback</w:t>
            </w:r>
          </w:p>
          <w:p w14:paraId="68A6D7A8" w14:textId="1E010015" w:rsidR="00B25DE1" w:rsidRPr="00B25DE1" w:rsidRDefault="00B25DE1" w:rsidP="00B25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25DE1">
              <w:rPr>
                <w:bCs/>
                <w:lang w:val="en-GB"/>
              </w:rPr>
              <w:t xml:space="preserve"> Continuous improvement: refining events based on outcomes and insight</w:t>
            </w:r>
          </w:p>
          <w:p w14:paraId="3068B81A" w14:textId="105C695B" w:rsidR="00E171A4" w:rsidRPr="00B25DE1" w:rsidRDefault="00E171A4" w:rsidP="00B25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1603E4" w14:paraId="39132964" w14:textId="77777777">
        <w:trPr>
          <w:trHeight w:val="13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7AF1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lastRenderedPageBreak/>
              <w:t>Case Studies/Examples: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AEEE" w14:textId="76FF3BF2" w:rsidR="00FE3645" w:rsidRPr="00FE3645" w:rsidRDefault="000A6473" w:rsidP="00FE36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See presentation</w:t>
            </w:r>
          </w:p>
          <w:p w14:paraId="6E331756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603E4" w14:paraId="0A154EA2" w14:textId="77777777">
        <w:trPr>
          <w:trHeight w:val="941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B194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 xml:space="preserve">Scenarios/Roundtable discussions: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42D9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603E4" w14:paraId="21B05BDE" w14:textId="77777777">
        <w:trPr>
          <w:trHeight w:val="118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617C" w14:textId="77777777" w:rsidR="001603E4" w:rsidRDefault="00DA5923">
            <w:pPr>
              <w:rPr>
                <w:b/>
              </w:rPr>
            </w:pPr>
            <w:r>
              <w:rPr>
                <w:b/>
              </w:rPr>
              <w:t>Questions and Answers: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C0B5" w14:textId="7888EC1E" w:rsidR="00985DB9" w:rsidRDefault="00985DB9" w:rsidP="00985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85DB9">
              <w:rPr>
                <w:bCs/>
              </w:rPr>
              <w:t>How do you persuade academics to engage more fully in recruitment events?</w:t>
            </w:r>
          </w:p>
          <w:p w14:paraId="548AC2A5" w14:textId="1CE5E172" w:rsidR="00985DB9" w:rsidRDefault="00985DB9" w:rsidP="00985DB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Common goals</w:t>
            </w:r>
          </w:p>
          <w:p w14:paraId="28B85D14" w14:textId="0BD3229C" w:rsidR="00985DB9" w:rsidRDefault="00985DB9" w:rsidP="00985DB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Future students</w:t>
            </w:r>
          </w:p>
          <w:p w14:paraId="5BA8FB15" w14:textId="4DCBE4AE" w:rsidR="00985DB9" w:rsidRPr="00985DB9" w:rsidRDefault="00985DB9" w:rsidP="00985DB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Raising the profile of a certain career or subject less known in the school system</w:t>
            </w:r>
          </w:p>
          <w:p w14:paraId="088CA8AA" w14:textId="77777777" w:rsidR="00985DB9" w:rsidRPr="00985DB9" w:rsidRDefault="00985DB9" w:rsidP="00985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7A9C60EE" w14:textId="77777777" w:rsidR="000E1C7E" w:rsidRDefault="00985DB9" w:rsidP="00985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85DB9">
              <w:rPr>
                <w:bCs/>
              </w:rPr>
              <w:t>Do subject-specific events genuinely influence student choice?</w:t>
            </w:r>
          </w:p>
          <w:p w14:paraId="4E86BA92" w14:textId="6C9495ED" w:rsidR="00985DB9" w:rsidRPr="00985DB9" w:rsidRDefault="00985DB9" w:rsidP="00985DB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Yes, </w:t>
            </w:r>
            <w:r w:rsidR="000A29D3">
              <w:rPr>
                <w:bCs/>
              </w:rPr>
              <w:t>data from local schools saw an uptick in applications</w:t>
            </w:r>
          </w:p>
        </w:tc>
      </w:tr>
      <w:bookmarkEnd w:id="0"/>
      <w:tr w:rsidR="001603E4" w14:paraId="37C02C8C" w14:textId="77777777">
        <w:trPr>
          <w:trHeight w:val="12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0B8C" w14:textId="283223A0" w:rsidR="001603E4" w:rsidRDefault="00DA5923">
            <w:pPr>
              <w:rPr>
                <w:b/>
              </w:rPr>
            </w:pPr>
            <w:r>
              <w:rPr>
                <w:b/>
              </w:rPr>
              <w:t>Summary</w:t>
            </w:r>
            <w:r w:rsidR="000A6473">
              <w:rPr>
                <w:b/>
              </w:rPr>
              <w:t>/</w:t>
            </w:r>
            <w:r>
              <w:rPr>
                <w:b/>
              </w:rPr>
              <w:t>Key takeaways: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C0AA" w14:textId="77777777" w:rsidR="001603E4" w:rsidRDefault="0016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6279DB30" w14:textId="77777777" w:rsidR="001603E4" w:rsidRDefault="001603E4">
      <w:pPr>
        <w:rPr>
          <w:b/>
        </w:rPr>
      </w:pPr>
    </w:p>
    <w:p w14:paraId="77DAA297" w14:textId="77777777" w:rsidR="001603E4" w:rsidRDefault="001603E4">
      <w:pPr>
        <w:rPr>
          <w:b/>
        </w:rPr>
      </w:pPr>
    </w:p>
    <w:p w14:paraId="199C791D" w14:textId="77777777" w:rsidR="001603E4" w:rsidRDefault="001603E4">
      <w:pPr>
        <w:rPr>
          <w:b/>
        </w:rPr>
      </w:pPr>
    </w:p>
    <w:p w14:paraId="22DF0390" w14:textId="77777777" w:rsidR="001603E4" w:rsidRDefault="001603E4">
      <w:pPr>
        <w:rPr>
          <w:b/>
        </w:rPr>
      </w:pPr>
    </w:p>
    <w:p w14:paraId="60985D5D" w14:textId="77777777" w:rsidR="001603E4" w:rsidRDefault="001603E4">
      <w:pPr>
        <w:rPr>
          <w:b/>
        </w:rPr>
      </w:pPr>
    </w:p>
    <w:p w14:paraId="50429F83" w14:textId="77777777" w:rsidR="001603E4" w:rsidRDefault="001603E4">
      <w:pPr>
        <w:rPr>
          <w:b/>
        </w:rPr>
      </w:pPr>
    </w:p>
    <w:p w14:paraId="26EE3F8E" w14:textId="77777777" w:rsidR="001603E4" w:rsidRDefault="001603E4">
      <w:pPr>
        <w:rPr>
          <w:b/>
        </w:rPr>
      </w:pPr>
    </w:p>
    <w:p w14:paraId="1D08F1B2" w14:textId="77777777" w:rsidR="001603E4" w:rsidRDefault="001603E4">
      <w:pPr>
        <w:rPr>
          <w:b/>
        </w:rPr>
      </w:pPr>
    </w:p>
    <w:p w14:paraId="7B2CFB99" w14:textId="77777777" w:rsidR="001603E4" w:rsidRDefault="001603E4">
      <w:pPr>
        <w:rPr>
          <w:b/>
        </w:rPr>
      </w:pPr>
    </w:p>
    <w:sectPr w:rsidR="001603E4">
      <w:headerReference w:type="default" r:id="rId7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04B" w14:textId="77777777" w:rsidR="00261141" w:rsidRDefault="00DA5923">
      <w:pPr>
        <w:spacing w:line="240" w:lineRule="auto"/>
      </w:pPr>
      <w:r>
        <w:separator/>
      </w:r>
    </w:p>
  </w:endnote>
  <w:endnote w:type="continuationSeparator" w:id="0">
    <w:p w14:paraId="7BE468B8" w14:textId="77777777" w:rsidR="00261141" w:rsidRDefault="00DA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16CB" w14:textId="77777777" w:rsidR="00261141" w:rsidRDefault="00DA5923">
      <w:pPr>
        <w:spacing w:line="240" w:lineRule="auto"/>
      </w:pPr>
      <w:r>
        <w:separator/>
      </w:r>
    </w:p>
  </w:footnote>
  <w:footnote w:type="continuationSeparator" w:id="0">
    <w:p w14:paraId="7889544E" w14:textId="77777777" w:rsidR="00261141" w:rsidRDefault="00DA5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11C" w14:textId="77777777" w:rsidR="001603E4" w:rsidRDefault="00DA5923">
    <w:r>
      <w:rPr>
        <w:noProof/>
      </w:rPr>
      <w:drawing>
        <wp:anchor distT="0" distB="0" distL="114300" distR="114300" simplePos="0" relativeHeight="251658240" behindDoc="0" locked="0" layoutInCell="1" hidden="0" allowOverlap="1" wp14:anchorId="0CAD7F5D" wp14:editId="76FBD7DE">
          <wp:simplePos x="0" y="0"/>
          <wp:positionH relativeFrom="column">
            <wp:posOffset>2047875</wp:posOffset>
          </wp:positionH>
          <wp:positionV relativeFrom="paragraph">
            <wp:posOffset>-314324</wp:posOffset>
          </wp:positionV>
          <wp:extent cx="1851025" cy="621665"/>
          <wp:effectExtent l="0" t="0" r="0" b="0"/>
          <wp:wrapSquare wrapText="bothSides" distT="0" distB="0" distL="114300" distR="114300"/>
          <wp:docPr id="1" name="image1.png" descr="https://lh6.googleusercontent.com/irHBAjOEuhIUaMtFCpM4m2XBrWsDDmP-GI0t48gADboDsvJlWh-wEiFYXjm0-xbSTb2mNt8Hdoz3GxoPHMFWkZpD8RJn7NbJBwH9qs_l2FZrRVtnD8JJmA3he_qS1ipK2B0Xord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irHBAjOEuhIUaMtFCpM4m2XBrWsDDmP-GI0t48gADboDsvJlWh-wEiFYXjm0-xbSTb2mNt8Hdoz3GxoPHMFWkZpD8RJn7NbJBwH9qs_l2FZrRVtnD8JJmA3he_qS1ipK2B0Xord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02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6FE6"/>
    <w:multiLevelType w:val="multilevel"/>
    <w:tmpl w:val="1A42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F1E06"/>
    <w:multiLevelType w:val="hybridMultilevel"/>
    <w:tmpl w:val="93E8D96A"/>
    <w:lvl w:ilvl="0" w:tplc="9998FD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33624"/>
    <w:multiLevelType w:val="multilevel"/>
    <w:tmpl w:val="A284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F0B0E"/>
    <w:multiLevelType w:val="hybridMultilevel"/>
    <w:tmpl w:val="26527F0C"/>
    <w:lvl w:ilvl="0" w:tplc="BC3492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A1476"/>
    <w:multiLevelType w:val="hybridMultilevel"/>
    <w:tmpl w:val="CE566C4E"/>
    <w:lvl w:ilvl="0" w:tplc="FC44894C">
      <w:start w:val="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6229">
    <w:abstractNumId w:val="4"/>
  </w:num>
  <w:num w:numId="2" w16cid:durableId="156387545">
    <w:abstractNumId w:val="3"/>
  </w:num>
  <w:num w:numId="3" w16cid:durableId="1501654989">
    <w:abstractNumId w:val="0"/>
  </w:num>
  <w:num w:numId="4" w16cid:durableId="1789936413">
    <w:abstractNumId w:val="2"/>
  </w:num>
  <w:num w:numId="5" w16cid:durableId="67884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E4"/>
    <w:rsid w:val="000A29D3"/>
    <w:rsid w:val="000A6473"/>
    <w:rsid w:val="000C3AFC"/>
    <w:rsid w:val="000E1C7E"/>
    <w:rsid w:val="001603E4"/>
    <w:rsid w:val="00261141"/>
    <w:rsid w:val="002C20DA"/>
    <w:rsid w:val="00345E08"/>
    <w:rsid w:val="003936D5"/>
    <w:rsid w:val="004971EE"/>
    <w:rsid w:val="004E6231"/>
    <w:rsid w:val="0088590D"/>
    <w:rsid w:val="00985DB9"/>
    <w:rsid w:val="00A44B50"/>
    <w:rsid w:val="00AB3694"/>
    <w:rsid w:val="00B25DE1"/>
    <w:rsid w:val="00CD10C6"/>
    <w:rsid w:val="00DA5923"/>
    <w:rsid w:val="00E171A4"/>
    <w:rsid w:val="00E820DF"/>
    <w:rsid w:val="00EC57C3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E2DD"/>
  <w15:docId w15:val="{5FFD9B2A-8A87-4DF9-88C2-40FA9834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4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George R</dc:creator>
  <cp:lastModifiedBy>Green, George R</cp:lastModifiedBy>
  <cp:revision>2</cp:revision>
  <dcterms:created xsi:type="dcterms:W3CDTF">2026-02-01T09:59:00Z</dcterms:created>
  <dcterms:modified xsi:type="dcterms:W3CDTF">2026-02-01T09:59:00Z</dcterms:modified>
</cp:coreProperties>
</file>