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071B" w14:textId="77777777" w:rsidR="00D67612" w:rsidRDefault="009F3052">
      <w:r>
        <w:t>HELOA Conference January 2019</w:t>
      </w:r>
    </w:p>
    <w:p w14:paraId="46A76F73" w14:textId="77777777" w:rsidR="009F3052" w:rsidRDefault="009F3052"/>
    <w:p w14:paraId="206B640C" w14:textId="77777777" w:rsidR="009F3052" w:rsidRDefault="009F3052" w:rsidP="009F3052">
      <w:r>
        <w:t xml:space="preserve">Qualification reform: 2019 and beyond – delivered by </w:t>
      </w:r>
      <w:proofErr w:type="gramStart"/>
      <w:r>
        <w:t>UCAS  (</w:t>
      </w:r>
      <w:proofErr w:type="gramEnd"/>
      <w:r>
        <w:t>Amy Smith, Senior Policy Executive)</w:t>
      </w:r>
    </w:p>
    <w:p w14:paraId="52E9EEF5" w14:textId="77777777" w:rsidR="009F3052" w:rsidRDefault="009F3052" w:rsidP="009F3052">
      <w:r>
        <w:t xml:space="preserve"> </w:t>
      </w:r>
    </w:p>
    <w:p w14:paraId="2E70D5EC" w14:textId="5B07E88B" w:rsidR="00D11AC4" w:rsidRDefault="009F3052" w:rsidP="009F3052">
      <w:r>
        <w:t xml:space="preserve">This session looked in detail at some of UCAS qualification reform work, in the context of the 2018 and 2019 cycles. It considered key issues for </w:t>
      </w:r>
      <w:proofErr w:type="gramStart"/>
      <w:r>
        <w:t>HE</w:t>
      </w:r>
      <w:proofErr w:type="gramEnd"/>
      <w:r>
        <w:t xml:space="preserve"> providers in relation to big qualification changes (such as GCSE reform across the UK, and the introduction of T levels) and </w:t>
      </w:r>
      <w:r w:rsidR="00DA1DD9">
        <w:t>considers</w:t>
      </w:r>
      <w:r>
        <w:t xml:space="preserve"> how students can be supported in navigating the changing landscape. </w:t>
      </w:r>
    </w:p>
    <w:p w14:paraId="510563F4" w14:textId="31E6BB54" w:rsidR="00D11AC4" w:rsidRPr="00D11AC4" w:rsidRDefault="00D11AC4" w:rsidP="009F3052">
      <w:pPr>
        <w:rPr>
          <w:u w:val="single"/>
        </w:rPr>
      </w:pPr>
      <w:r w:rsidRPr="00D11AC4">
        <w:rPr>
          <w:u w:val="single"/>
        </w:rPr>
        <w:t>The changing landscape</w:t>
      </w:r>
    </w:p>
    <w:p w14:paraId="73811B98" w14:textId="3C537A01" w:rsidR="009F3052" w:rsidRDefault="00D11AC4" w:rsidP="009F3052">
      <w:r>
        <w:t>This changing landscape also includes changes to fees</w:t>
      </w:r>
      <w:r w:rsidR="00DA1DD9">
        <w:t xml:space="preserve"> i.e.</w:t>
      </w:r>
      <w:r>
        <w:t xml:space="preserve"> funding could also bring changes to study e.g. levels of study, and who is offering them. Also effects of </w:t>
      </w:r>
      <w:proofErr w:type="spellStart"/>
      <w:r>
        <w:t>Brexit</w:t>
      </w:r>
      <w:proofErr w:type="spellEnd"/>
      <w:r>
        <w:t xml:space="preserve">, i.e. how students </w:t>
      </w:r>
      <w:proofErr w:type="gramStart"/>
      <w:r>
        <w:t>are transferred</w:t>
      </w:r>
      <w:proofErr w:type="gramEnd"/>
      <w:r>
        <w:t xml:space="preserve"> to EU institutions.</w:t>
      </w:r>
    </w:p>
    <w:p w14:paraId="145C76DB" w14:textId="15CB2428" w:rsidR="00D11AC4" w:rsidRDefault="00A221F2" w:rsidP="009F3052">
      <w:pPr>
        <w:rPr>
          <w:u w:val="single"/>
        </w:rPr>
      </w:pPr>
      <w:r>
        <w:rPr>
          <w:u w:val="single"/>
        </w:rPr>
        <w:t>1.</w:t>
      </w:r>
      <w:r w:rsidR="00DA1DD9">
        <w:rPr>
          <w:u w:val="single"/>
        </w:rPr>
        <w:t xml:space="preserve"> </w:t>
      </w:r>
      <w:r w:rsidR="00D11AC4" w:rsidRPr="00D11AC4">
        <w:rPr>
          <w:u w:val="single"/>
        </w:rPr>
        <w:t>Qualification reform in 2018</w:t>
      </w:r>
    </w:p>
    <w:p w14:paraId="5DA5F994" w14:textId="646FFEFB" w:rsidR="00D11AC4" w:rsidRDefault="00DA1DD9" w:rsidP="009F3052">
      <w:r>
        <w:t>‘A’ levels - t</w:t>
      </w:r>
      <w:r w:rsidR="00D11AC4">
        <w:t xml:space="preserve">he decoupled AS </w:t>
      </w:r>
      <w:r w:rsidR="00F51492">
        <w:t>and the 2 year linear exam.</w:t>
      </w:r>
    </w:p>
    <w:p w14:paraId="62929E04" w14:textId="3A238521" w:rsidR="00F51492" w:rsidRDefault="00F51492" w:rsidP="009F3052">
      <w:r>
        <w:t>Also the first substantive award of reformed vocational qualifications.</w:t>
      </w:r>
    </w:p>
    <w:p w14:paraId="7FB72298" w14:textId="0D2A55A3" w:rsidR="00F51492" w:rsidRDefault="00F51492" w:rsidP="009F3052">
      <w:r>
        <w:t>Key issues for HE:</w:t>
      </w:r>
    </w:p>
    <w:p w14:paraId="2C23F39B" w14:textId="41100038" w:rsidR="00F51492" w:rsidRDefault="00F51492" w:rsidP="009F3052">
      <w:r>
        <w:t>Dual running applicants may declare incorrect version of the qualification</w:t>
      </w:r>
    </w:p>
    <w:p w14:paraId="1DE5496D" w14:textId="6FE25686" w:rsidR="00F51492" w:rsidRDefault="00F51492" w:rsidP="009F3052">
      <w:r>
        <w:t xml:space="preserve">Different skills and aptitudes </w:t>
      </w:r>
    </w:p>
    <w:p w14:paraId="591E57FA" w14:textId="2C90B37E" w:rsidR="00F51492" w:rsidRDefault="00F51492" w:rsidP="009F3052">
      <w:r>
        <w:t>Assessment changes</w:t>
      </w:r>
    </w:p>
    <w:p w14:paraId="06B51E87" w14:textId="77777777" w:rsidR="00DA1DD9" w:rsidRDefault="00F51492" w:rsidP="009F3052">
      <w:r>
        <w:t>Fewer students are passing the qualifications</w:t>
      </w:r>
    </w:p>
    <w:p w14:paraId="4642A35E" w14:textId="1611F575" w:rsidR="00F51492" w:rsidRDefault="00DA1DD9" w:rsidP="009F3052">
      <w:r>
        <w:t>T</w:t>
      </w:r>
      <w:r w:rsidR="00F51492">
        <w:t>he changes to grade distribution</w:t>
      </w:r>
    </w:p>
    <w:p w14:paraId="1B77F2A1" w14:textId="4F6B37C3" w:rsidR="00F51492" w:rsidRDefault="00F51492" w:rsidP="009F3052">
      <w:r>
        <w:t>Greater need for differentiation at confirmation/clearing could lead to delayed decisions</w:t>
      </w:r>
    </w:p>
    <w:p w14:paraId="5F470C67" w14:textId="4A024E96" w:rsidR="00F51492" w:rsidRDefault="00A221F2" w:rsidP="009F3052">
      <w:pPr>
        <w:rPr>
          <w:u w:val="single"/>
        </w:rPr>
      </w:pPr>
      <w:r>
        <w:rPr>
          <w:u w:val="single"/>
        </w:rPr>
        <w:t>2.</w:t>
      </w:r>
      <w:r w:rsidR="00DA1DD9">
        <w:rPr>
          <w:u w:val="single"/>
        </w:rPr>
        <w:t xml:space="preserve"> </w:t>
      </w:r>
      <w:r w:rsidR="00F51492" w:rsidRPr="00F51492">
        <w:rPr>
          <w:u w:val="single"/>
        </w:rPr>
        <w:t>Admission themes for 2018 cycle</w:t>
      </w:r>
    </w:p>
    <w:p w14:paraId="2124FAB8" w14:textId="767E6E47" w:rsidR="00F51492" w:rsidRDefault="00F51492" w:rsidP="009F3052">
      <w:proofErr w:type="gramStart"/>
      <w:r w:rsidRPr="00F51492">
        <w:t>533,000</w:t>
      </w:r>
      <w:proofErr w:type="gramEnd"/>
      <w:r w:rsidRPr="00F51492">
        <w:t xml:space="preserve"> students were placed in 2018</w:t>
      </w:r>
      <w:r>
        <w:t>.</w:t>
      </w:r>
    </w:p>
    <w:p w14:paraId="490191F2" w14:textId="02B8B08D" w:rsidR="00F51492" w:rsidRDefault="00F51492" w:rsidP="009F3052">
      <w:r>
        <w:t>Entry rate for UK 18 year olds rises but fewer acceptances.</w:t>
      </w:r>
    </w:p>
    <w:p w14:paraId="0259BDBC" w14:textId="6B5998CB" w:rsidR="00F51492" w:rsidRDefault="00F51492" w:rsidP="009F3052">
      <w:r>
        <w:t>Record numbers apply through Clearing.</w:t>
      </w:r>
    </w:p>
    <w:p w14:paraId="27B5ABF5" w14:textId="67479F73" w:rsidR="00F51492" w:rsidRDefault="00F51492" w:rsidP="009F3052">
      <w:r>
        <w:t>EU demand still strong.</w:t>
      </w:r>
    </w:p>
    <w:p w14:paraId="3A3A3ED6" w14:textId="41BCFAC9" w:rsidR="00F51492" w:rsidRPr="00F51492" w:rsidRDefault="00F51492" w:rsidP="009F3052">
      <w:r>
        <w:t>No progress in widening participation and Access since 2014.</w:t>
      </w:r>
    </w:p>
    <w:p w14:paraId="4EDB1E87" w14:textId="77777777" w:rsidR="00F34E79" w:rsidRDefault="00F34E79" w:rsidP="00F34E79"/>
    <w:p w14:paraId="4EC03142" w14:textId="31282AAF" w:rsidR="00F34E79" w:rsidRPr="00F34E79" w:rsidRDefault="00A221F2" w:rsidP="00F34E79">
      <w:pPr>
        <w:rPr>
          <w:u w:val="single"/>
        </w:rPr>
      </w:pPr>
      <w:r>
        <w:rPr>
          <w:u w:val="single"/>
        </w:rPr>
        <w:t>3.</w:t>
      </w:r>
      <w:r w:rsidR="00DA1DD9">
        <w:rPr>
          <w:u w:val="single"/>
        </w:rPr>
        <w:t xml:space="preserve"> </w:t>
      </w:r>
      <w:r w:rsidR="00F34E79" w:rsidRPr="00F34E79">
        <w:rPr>
          <w:u w:val="single"/>
        </w:rPr>
        <w:t>Overview of current entry type of qualifications.</w:t>
      </w:r>
    </w:p>
    <w:p w14:paraId="51C9F1C0" w14:textId="77777777" w:rsidR="00F34E79" w:rsidRDefault="00F34E79" w:rsidP="00F34E79">
      <w:r>
        <w:t xml:space="preserve">59.8% of applicants hold only ‘A’ levels1 </w:t>
      </w:r>
    </w:p>
    <w:p w14:paraId="14EEC401" w14:textId="77777777" w:rsidR="00F34E79" w:rsidRDefault="00F34E79" w:rsidP="00F34E79">
      <w:proofErr w:type="gramStart"/>
      <w:r>
        <w:t>10.1%</w:t>
      </w:r>
      <w:proofErr w:type="gramEnd"/>
      <w:r>
        <w:t xml:space="preserve"> hold only BTECs </w:t>
      </w:r>
    </w:p>
    <w:p w14:paraId="775FECB0" w14:textId="77777777" w:rsidR="00F34E79" w:rsidRDefault="00F34E79" w:rsidP="00F34E79">
      <w:proofErr w:type="gramStart"/>
      <w:r>
        <w:t>7.2%</w:t>
      </w:r>
      <w:proofErr w:type="gramEnd"/>
      <w:r>
        <w:t xml:space="preserve"> have a combination of BTEC &amp; ‘A’ levels  </w:t>
      </w:r>
    </w:p>
    <w:p w14:paraId="7244408D" w14:textId="77777777" w:rsidR="00F34E79" w:rsidRDefault="00F34E79" w:rsidP="00F34E79">
      <w:proofErr w:type="gramStart"/>
      <w:r>
        <w:lastRenderedPageBreak/>
        <w:t>15.7%</w:t>
      </w:r>
      <w:proofErr w:type="gramEnd"/>
      <w:r>
        <w:t xml:space="preserve"> hold ‘other qualifications’- this is a 2.6% increase on 2017 </w:t>
      </w:r>
    </w:p>
    <w:p w14:paraId="6022F90E" w14:textId="13BC6010" w:rsidR="00F34E79" w:rsidRDefault="00F34E79" w:rsidP="00F34E79">
      <w:r>
        <w:t>‘Other qualifications?’</w:t>
      </w:r>
    </w:p>
    <w:p w14:paraId="3CBDFBFC" w14:textId="66C086B5" w:rsidR="004E10D3" w:rsidRDefault="004E10D3" w:rsidP="004E10D3">
      <w:r>
        <w:t xml:space="preserve">a) Cambridge technical –there are </w:t>
      </w:r>
      <w:proofErr w:type="gramStart"/>
      <w:r>
        <w:t>5</w:t>
      </w:r>
      <w:proofErr w:type="gramEnd"/>
      <w:r>
        <w:t xml:space="preserve"> different sizes. Also 2 suites, the 2012 and the 2016. The 2016 suite </w:t>
      </w:r>
      <w:proofErr w:type="gramStart"/>
      <w:r>
        <w:t>have been reformed</w:t>
      </w:r>
      <w:proofErr w:type="gramEnd"/>
      <w:r>
        <w:t xml:space="preserve"> in the same way as the BTEC Nationals. </w:t>
      </w:r>
    </w:p>
    <w:p w14:paraId="02FCC39F" w14:textId="2FE49438" w:rsidR="0031506F" w:rsidRDefault="0031506F" w:rsidP="004E10D3">
      <w:r>
        <w:t>b) Cambridge Pre- U Diploma</w:t>
      </w:r>
    </w:p>
    <w:p w14:paraId="6F16E7A8" w14:textId="6DCA08EB" w:rsidR="0031506F" w:rsidRDefault="0031506F" w:rsidP="004E10D3">
      <w:r>
        <w:t>This is a level 3 qualification (academic) made up of 2 components: 3 principal subjects to include a global perspectives and independent research project (same as the EPQ)</w:t>
      </w:r>
    </w:p>
    <w:p w14:paraId="7AC515FB" w14:textId="215B8B13" w:rsidR="0031506F" w:rsidRDefault="0031506F" w:rsidP="004E10D3">
      <w:r>
        <w:t>3) Extended Project</w:t>
      </w:r>
    </w:p>
    <w:p w14:paraId="42D65F4D" w14:textId="2C6681B0" w:rsidR="0031506F" w:rsidRDefault="0031506F" w:rsidP="004E10D3">
      <w:r>
        <w:t>Level 3 academic qualification with an independent project. It has increased in popularity.</w:t>
      </w:r>
    </w:p>
    <w:p w14:paraId="738A0803" w14:textId="788FB828" w:rsidR="0031506F" w:rsidRDefault="00F93C1B" w:rsidP="004E10D3">
      <w:r>
        <w:t xml:space="preserve">There are also: The Advanced Skills Challenge Certificate </w:t>
      </w:r>
      <w:proofErr w:type="gramStart"/>
      <w:r>
        <w:t>( Wales</w:t>
      </w:r>
      <w:proofErr w:type="gramEnd"/>
      <w:r>
        <w:t>), International ‘A’ levels (don’t attract tariff points but are widely accepted by HE), AS levels, apprenticeships, other vocational qualifications e.g. City &amp; Guilds and combinations of the above.</w:t>
      </w:r>
    </w:p>
    <w:p w14:paraId="3C98CECB" w14:textId="70A0D435" w:rsidR="00D65DBA" w:rsidRDefault="00D65DBA" w:rsidP="004E10D3"/>
    <w:p w14:paraId="64F9DD07" w14:textId="6F456040" w:rsidR="00D65DBA" w:rsidRDefault="00A221F2" w:rsidP="004E10D3">
      <w:pPr>
        <w:rPr>
          <w:u w:val="single"/>
        </w:rPr>
      </w:pPr>
      <w:r>
        <w:rPr>
          <w:u w:val="single"/>
        </w:rPr>
        <w:t>4.</w:t>
      </w:r>
      <w:r w:rsidR="00DA1DD9">
        <w:rPr>
          <w:u w:val="single"/>
        </w:rPr>
        <w:t xml:space="preserve"> The c</w:t>
      </w:r>
      <w:r w:rsidR="006C21CE" w:rsidRPr="006C21CE">
        <w:rPr>
          <w:u w:val="single"/>
        </w:rPr>
        <w:t>hange in how students use Clearing</w:t>
      </w:r>
      <w:r w:rsidR="006C21CE">
        <w:rPr>
          <w:u w:val="single"/>
        </w:rPr>
        <w:t>- who is applying direct to Clearing</w:t>
      </w:r>
      <w:r w:rsidR="00361D3A">
        <w:rPr>
          <w:u w:val="single"/>
        </w:rPr>
        <w:t xml:space="preserve"> (DTC)</w:t>
      </w:r>
      <w:r w:rsidR="006C21CE">
        <w:rPr>
          <w:u w:val="single"/>
        </w:rPr>
        <w:t>?</w:t>
      </w:r>
    </w:p>
    <w:p w14:paraId="78537024" w14:textId="0678A8CE" w:rsidR="006C21CE" w:rsidRDefault="006C21CE" w:rsidP="004E10D3">
      <w:r w:rsidRPr="006C21CE">
        <w:t>2.5</w:t>
      </w:r>
      <w:r>
        <w:t>% of all UK acceptances used this route</w:t>
      </w:r>
    </w:p>
    <w:p w14:paraId="5DF091FE" w14:textId="538A6193" w:rsidR="006C21CE" w:rsidRDefault="006C21CE" w:rsidP="004E10D3">
      <w:r>
        <w:t>Business and admin</w:t>
      </w:r>
      <w:r w:rsidR="00DA1DD9">
        <w:t>.</w:t>
      </w:r>
      <w:r>
        <w:t xml:space="preserve"> </w:t>
      </w:r>
      <w:proofErr w:type="gramStart"/>
      <w:r>
        <w:t>were</w:t>
      </w:r>
      <w:proofErr w:type="gramEnd"/>
      <w:r>
        <w:t xml:space="preserve"> the most popular subjects</w:t>
      </w:r>
    </w:p>
    <w:p w14:paraId="3F488462" w14:textId="50C2F811" w:rsidR="006C21CE" w:rsidRDefault="00361D3A" w:rsidP="004E10D3">
      <w:r>
        <w:t>Nursing made up almost half of Group B DTC acceptances</w:t>
      </w:r>
    </w:p>
    <w:p w14:paraId="793695F4" w14:textId="6474B39A" w:rsidR="00361D3A" w:rsidRDefault="00361D3A" w:rsidP="004E10D3">
      <w:proofErr w:type="gramStart"/>
      <w:r>
        <w:t>4</w:t>
      </w:r>
      <w:proofErr w:type="gramEnd"/>
      <w:r>
        <w:t xml:space="preserve">% of all acceptances to lower tariff providers were </w:t>
      </w:r>
      <w:r w:rsidR="00DA1DD9">
        <w:t xml:space="preserve">made </w:t>
      </w:r>
      <w:r>
        <w:t>DTC</w:t>
      </w:r>
    </w:p>
    <w:p w14:paraId="4CAB0C28" w14:textId="77777777" w:rsidR="00361D3A" w:rsidRDefault="00361D3A" w:rsidP="004E10D3">
      <w:proofErr w:type="gramStart"/>
      <w:r>
        <w:t>70%</w:t>
      </w:r>
      <w:proofErr w:type="gramEnd"/>
      <w:r>
        <w:t xml:space="preserve"> aged 20 and over</w:t>
      </w:r>
    </w:p>
    <w:p w14:paraId="5C3C6A3D" w14:textId="77777777" w:rsidR="00361D3A" w:rsidRDefault="00361D3A" w:rsidP="004E10D3">
      <w:proofErr w:type="gramStart"/>
      <w:r>
        <w:t>91%</w:t>
      </w:r>
      <w:proofErr w:type="gramEnd"/>
      <w:r>
        <w:t xml:space="preserve"> domiciled acceptances</w:t>
      </w:r>
    </w:p>
    <w:p w14:paraId="537EEA48" w14:textId="77777777" w:rsidR="00361D3A" w:rsidRDefault="00361D3A" w:rsidP="004E10D3">
      <w:proofErr w:type="gramStart"/>
      <w:r>
        <w:t>60%</w:t>
      </w:r>
      <w:proofErr w:type="gramEnd"/>
      <w:r>
        <w:t xml:space="preserve"> at providers 45 minutes away from home</w:t>
      </w:r>
    </w:p>
    <w:p w14:paraId="05274A19" w14:textId="06B39B9F" w:rsidR="00361D3A" w:rsidRDefault="00361D3A" w:rsidP="004E10D3">
      <w:r>
        <w:t>Almost ¼ from London</w:t>
      </w:r>
    </w:p>
    <w:p w14:paraId="3365CB4D" w14:textId="77777777" w:rsidR="00793357" w:rsidRDefault="00793357" w:rsidP="004E10D3"/>
    <w:p w14:paraId="3EC9B104" w14:textId="17860A6A" w:rsidR="00856D7D" w:rsidRDefault="00F235F2" w:rsidP="004E10D3">
      <w:pPr>
        <w:rPr>
          <w:u w:val="single"/>
        </w:rPr>
      </w:pPr>
      <w:r>
        <w:rPr>
          <w:u w:val="single"/>
        </w:rPr>
        <w:t xml:space="preserve">Unconditional </w:t>
      </w:r>
      <w:proofErr w:type="gramStart"/>
      <w:r>
        <w:rPr>
          <w:u w:val="single"/>
        </w:rPr>
        <w:t>offer-making</w:t>
      </w:r>
      <w:proofErr w:type="gramEnd"/>
    </w:p>
    <w:p w14:paraId="0C4A3FDB" w14:textId="23A7D258" w:rsidR="00F235F2" w:rsidRDefault="00F235F2" w:rsidP="004E10D3">
      <w:r w:rsidRPr="00F235F2">
        <w:t>Use of unconditional offers is becoming increasingly popular – a third of applicants received an offer with an unconditional component in 2018</w:t>
      </w:r>
      <w:r>
        <w:t>.</w:t>
      </w:r>
    </w:p>
    <w:p w14:paraId="783D4FAF" w14:textId="37335859" w:rsidR="00F235F2" w:rsidRDefault="00F235F2" w:rsidP="004E10D3">
      <w:r>
        <w:t xml:space="preserve">Trends have been towards a diversification of grade profiles- applicants predicted 11 A level points (BBC) proportionately receive the </w:t>
      </w:r>
      <w:r w:rsidR="00793357">
        <w:t>unconditional</w:t>
      </w:r>
      <w:r>
        <w:t xml:space="preserve"> offers.</w:t>
      </w:r>
    </w:p>
    <w:p w14:paraId="368280EC" w14:textId="7B2C83C7" w:rsidR="00F235F2" w:rsidRDefault="00F235F2" w:rsidP="004E10D3">
      <w:r>
        <w:t xml:space="preserve">Students are more likely to </w:t>
      </w:r>
      <w:r w:rsidR="00793357">
        <w:t>miss their predicted grades tha</w:t>
      </w:r>
      <w:r>
        <w:t xml:space="preserve">n their peers with conditional </w:t>
      </w:r>
      <w:proofErr w:type="gramStart"/>
      <w:r>
        <w:t>offers</w:t>
      </w:r>
      <w:proofErr w:type="gramEnd"/>
      <w:r>
        <w:t>.</w:t>
      </w:r>
    </w:p>
    <w:p w14:paraId="75C85DA7" w14:textId="3BB76BE9" w:rsidR="00793357" w:rsidRDefault="00793357" w:rsidP="004E10D3">
      <w:r>
        <w:t>Sentiment towards conditional unconditional offers is generally positive among applicants.</w:t>
      </w:r>
    </w:p>
    <w:p w14:paraId="1640F588" w14:textId="77777777" w:rsidR="00793357" w:rsidRPr="00F235F2" w:rsidRDefault="00793357" w:rsidP="004E10D3"/>
    <w:p w14:paraId="62B38F8C" w14:textId="0FFDEF87" w:rsidR="00361D3A" w:rsidRDefault="00C1011E" w:rsidP="004E10D3">
      <w:pPr>
        <w:rPr>
          <w:u w:val="single"/>
        </w:rPr>
      </w:pPr>
      <w:r w:rsidRPr="00C1011E">
        <w:rPr>
          <w:u w:val="single"/>
        </w:rPr>
        <w:t>Who are BTEC students</w:t>
      </w:r>
      <w:r>
        <w:rPr>
          <w:u w:val="single"/>
        </w:rPr>
        <w:t>?</w:t>
      </w:r>
    </w:p>
    <w:p w14:paraId="3F32F0B0" w14:textId="77777777" w:rsidR="00C1011E" w:rsidRDefault="00C1011E" w:rsidP="004E10D3">
      <w:r>
        <w:t xml:space="preserve">They </w:t>
      </w:r>
      <w:proofErr w:type="gramStart"/>
      <w:r>
        <w:t>are classified</w:t>
      </w:r>
      <w:proofErr w:type="gramEnd"/>
      <w:r>
        <w:t xml:space="preserve"> as Polar3 Q1 + Q2 </w:t>
      </w:r>
    </w:p>
    <w:p w14:paraId="1087200B" w14:textId="2B0F84C4" w:rsidR="00C1011E" w:rsidRDefault="00C1011E" w:rsidP="004E10D3">
      <w:pPr>
        <w:rPr>
          <w:rFonts w:cstheme="minorHAnsi"/>
          <w:color w:val="00000B"/>
          <w:lang w:val="en"/>
        </w:rPr>
      </w:pPr>
      <w:r w:rsidRPr="00C1011E">
        <w:rPr>
          <w:rFonts w:cstheme="minorHAnsi"/>
          <w:color w:val="00000B"/>
          <w:lang w:val="en"/>
        </w:rPr>
        <w:lastRenderedPageBreak/>
        <w:t xml:space="preserve">POLAR3: Developed by HEFCE and classifies small areas across the UK into five groups according to their level of young participation in </w:t>
      </w:r>
      <w:proofErr w:type="gramStart"/>
      <w:r w:rsidRPr="00C1011E">
        <w:rPr>
          <w:rFonts w:cstheme="minorHAnsi"/>
          <w:color w:val="00000B"/>
          <w:lang w:val="en"/>
        </w:rPr>
        <w:t>HE</w:t>
      </w:r>
      <w:proofErr w:type="gramEnd"/>
      <w:r w:rsidRPr="00C1011E">
        <w:rPr>
          <w:rFonts w:cstheme="minorHAnsi"/>
          <w:color w:val="00000B"/>
          <w:lang w:val="en"/>
        </w:rPr>
        <w:t>. Each of these groups represents around 20 per cent of young people and is ranked from quintile 1 (areas with the lowest young participation rates, considered as the most disadvantaged) to quintile 5 (highest young participation rates, considered most advantaged).</w:t>
      </w:r>
    </w:p>
    <w:p w14:paraId="76E2EF0A" w14:textId="77777777" w:rsidR="00A221F2" w:rsidRDefault="00A221F2" w:rsidP="004E10D3">
      <w:pPr>
        <w:rPr>
          <w:rFonts w:cstheme="minorHAnsi"/>
          <w:color w:val="00000B"/>
          <w:lang w:val="en"/>
        </w:rPr>
      </w:pPr>
    </w:p>
    <w:p w14:paraId="60BF2A97" w14:textId="77777777" w:rsidR="003707E4" w:rsidRDefault="003707E4" w:rsidP="003707E4">
      <w:pPr>
        <w:rPr>
          <w:rFonts w:cstheme="minorHAnsi"/>
          <w:color w:val="00000B"/>
          <w:lang w:val="en"/>
        </w:rPr>
      </w:pPr>
      <w:r>
        <w:rPr>
          <w:rFonts w:cstheme="minorHAnsi"/>
          <w:color w:val="00000B"/>
          <w:lang w:val="en"/>
        </w:rPr>
        <w:t xml:space="preserve">As well as </w:t>
      </w:r>
      <w:proofErr w:type="gramStart"/>
      <w:r>
        <w:rPr>
          <w:rFonts w:cstheme="minorHAnsi"/>
          <w:color w:val="00000B"/>
          <w:lang w:val="en"/>
        </w:rPr>
        <w:t>BTEC</w:t>
      </w:r>
      <w:proofErr w:type="gramEnd"/>
      <w:r>
        <w:rPr>
          <w:rFonts w:cstheme="minorHAnsi"/>
          <w:color w:val="00000B"/>
          <w:lang w:val="en"/>
        </w:rPr>
        <w:t xml:space="preserve"> reform there has also been reform to:</w:t>
      </w:r>
    </w:p>
    <w:p w14:paraId="20D1D160" w14:textId="77777777" w:rsidR="003707E4" w:rsidRDefault="003707E4" w:rsidP="003707E4">
      <w:pPr>
        <w:rPr>
          <w:rFonts w:cstheme="minorHAnsi"/>
          <w:color w:val="00000B"/>
          <w:lang w:val="en"/>
        </w:rPr>
      </w:pPr>
      <w:r>
        <w:rPr>
          <w:rFonts w:cstheme="minorHAnsi"/>
          <w:color w:val="00000B"/>
          <w:lang w:val="en"/>
        </w:rPr>
        <w:t xml:space="preserve">Geology with a practical element, which </w:t>
      </w:r>
      <w:proofErr w:type="gramStart"/>
      <w:r>
        <w:rPr>
          <w:rFonts w:cstheme="minorHAnsi"/>
          <w:color w:val="00000B"/>
          <w:lang w:val="en"/>
        </w:rPr>
        <w:t>doesn’t</w:t>
      </w:r>
      <w:proofErr w:type="gramEnd"/>
      <w:r>
        <w:rPr>
          <w:rFonts w:cstheme="minorHAnsi"/>
          <w:color w:val="00000B"/>
          <w:lang w:val="en"/>
        </w:rPr>
        <w:t xml:space="preserve"> count towards the ‘A’ level</w:t>
      </w:r>
    </w:p>
    <w:p w14:paraId="204BC82D" w14:textId="77777777" w:rsidR="003707E4" w:rsidRDefault="003707E4" w:rsidP="003707E4">
      <w:pPr>
        <w:rPr>
          <w:rFonts w:cstheme="minorHAnsi"/>
        </w:rPr>
      </w:pPr>
      <w:r>
        <w:rPr>
          <w:rFonts w:cstheme="minorHAnsi"/>
        </w:rPr>
        <w:t>GCSEs, which are now numbered 9-1</w:t>
      </w:r>
    </w:p>
    <w:p w14:paraId="164B2331" w14:textId="77777777" w:rsidR="003707E4" w:rsidRDefault="003707E4" w:rsidP="003707E4">
      <w:pPr>
        <w:rPr>
          <w:rFonts w:cstheme="minorHAnsi"/>
        </w:rPr>
      </w:pPr>
      <w:r>
        <w:rPr>
          <w:rFonts w:cstheme="minorHAnsi"/>
        </w:rPr>
        <w:t>Functional skills and further vocational qualification reform</w:t>
      </w:r>
    </w:p>
    <w:p w14:paraId="5B91D528" w14:textId="77777777" w:rsidR="003707E4" w:rsidRDefault="003707E4" w:rsidP="003707E4">
      <w:pPr>
        <w:rPr>
          <w:rFonts w:cstheme="minorHAnsi"/>
        </w:rPr>
      </w:pPr>
      <w:r>
        <w:rPr>
          <w:rFonts w:cstheme="minorHAnsi"/>
        </w:rPr>
        <w:t>Continued apprenticeship standards with a move to adding tariff points to level 3 apprenticeships.</w:t>
      </w:r>
    </w:p>
    <w:p w14:paraId="13345D8F" w14:textId="73D29BB0" w:rsidR="003707E4" w:rsidRPr="003707E4" w:rsidRDefault="003707E4" w:rsidP="004E10D3">
      <w:pPr>
        <w:rPr>
          <w:rFonts w:cstheme="minorHAnsi"/>
          <w:b/>
          <w:color w:val="00000B"/>
          <w:lang w:val="en"/>
        </w:rPr>
      </w:pPr>
      <w:r w:rsidRPr="003707E4">
        <w:rPr>
          <w:rFonts w:cstheme="minorHAnsi"/>
          <w:b/>
          <w:color w:val="00000B"/>
          <w:lang w:val="en"/>
        </w:rPr>
        <w:t>Qualification reform in 2019: GCSEs</w:t>
      </w:r>
    </w:p>
    <w:p w14:paraId="646E7C3B" w14:textId="4B9FEEF0" w:rsidR="00856D7D" w:rsidRPr="005956E7" w:rsidRDefault="003707E4" w:rsidP="005956E7">
      <w:pPr>
        <w:pStyle w:val="ListParagraph"/>
        <w:numPr>
          <w:ilvl w:val="0"/>
          <w:numId w:val="6"/>
        </w:numPr>
        <w:rPr>
          <w:rFonts w:cstheme="minorHAnsi"/>
        </w:rPr>
      </w:pPr>
      <w:r w:rsidRPr="005956E7">
        <w:rPr>
          <w:rFonts w:cstheme="minorHAnsi"/>
        </w:rPr>
        <w:t>GCSEs in Northern Ireland</w:t>
      </w:r>
    </w:p>
    <w:p w14:paraId="519E4886" w14:textId="79EF9638" w:rsidR="003707E4" w:rsidRPr="005956E7" w:rsidRDefault="003707E4" w:rsidP="005956E7">
      <w:pPr>
        <w:pStyle w:val="ListParagraph"/>
        <w:numPr>
          <w:ilvl w:val="0"/>
          <w:numId w:val="6"/>
        </w:numPr>
        <w:rPr>
          <w:rFonts w:cstheme="minorHAnsi"/>
        </w:rPr>
      </w:pPr>
      <w:r w:rsidRPr="005956E7">
        <w:rPr>
          <w:rFonts w:cstheme="minorHAnsi"/>
        </w:rPr>
        <w:t xml:space="preserve">Introduction of the C* grade, aligned to grade </w:t>
      </w:r>
      <w:proofErr w:type="gramStart"/>
      <w:r w:rsidRPr="005956E7">
        <w:rPr>
          <w:rFonts w:cstheme="minorHAnsi"/>
        </w:rPr>
        <w:t>5</w:t>
      </w:r>
      <w:proofErr w:type="gramEnd"/>
      <w:r w:rsidRPr="005956E7">
        <w:rPr>
          <w:rFonts w:cstheme="minorHAnsi"/>
        </w:rPr>
        <w:t xml:space="preserve"> on the 9-1 scale.</w:t>
      </w:r>
    </w:p>
    <w:p w14:paraId="7762CDF0" w14:textId="1737BC3E" w:rsidR="003707E4" w:rsidRPr="005956E7" w:rsidRDefault="003707E4" w:rsidP="005956E7">
      <w:pPr>
        <w:pStyle w:val="ListParagraph"/>
        <w:numPr>
          <w:ilvl w:val="0"/>
          <w:numId w:val="6"/>
        </w:numPr>
        <w:rPr>
          <w:rFonts w:cstheme="minorHAnsi"/>
        </w:rPr>
      </w:pPr>
      <w:r w:rsidRPr="005956E7">
        <w:rPr>
          <w:rFonts w:cstheme="minorHAnsi"/>
        </w:rPr>
        <w:t xml:space="preserve">Grade B now aligns to grade </w:t>
      </w:r>
      <w:proofErr w:type="gramStart"/>
      <w:r w:rsidRPr="005956E7">
        <w:rPr>
          <w:rFonts w:cstheme="minorHAnsi"/>
        </w:rPr>
        <w:t>6</w:t>
      </w:r>
      <w:proofErr w:type="gramEnd"/>
      <w:r w:rsidRPr="005956E7">
        <w:rPr>
          <w:rFonts w:cstheme="minorHAnsi"/>
        </w:rPr>
        <w:t>.</w:t>
      </w:r>
    </w:p>
    <w:p w14:paraId="503D5A42" w14:textId="7F9ACF45" w:rsidR="003707E4" w:rsidRPr="005956E7" w:rsidRDefault="003707E4" w:rsidP="005956E7">
      <w:pPr>
        <w:pStyle w:val="ListParagraph"/>
        <w:numPr>
          <w:ilvl w:val="0"/>
          <w:numId w:val="6"/>
        </w:numPr>
        <w:rPr>
          <w:rFonts w:cstheme="minorHAnsi"/>
        </w:rPr>
      </w:pPr>
      <w:r w:rsidRPr="005956E7">
        <w:rPr>
          <w:rFonts w:cstheme="minorHAnsi"/>
        </w:rPr>
        <w:t xml:space="preserve">A* aligns to grade </w:t>
      </w:r>
      <w:proofErr w:type="gramStart"/>
      <w:r w:rsidRPr="005956E7">
        <w:rPr>
          <w:rFonts w:cstheme="minorHAnsi"/>
        </w:rPr>
        <w:t>9</w:t>
      </w:r>
      <w:proofErr w:type="gramEnd"/>
      <w:r w:rsidRPr="005956E7">
        <w:rPr>
          <w:rFonts w:cstheme="minorHAnsi"/>
        </w:rPr>
        <w:t>.</w:t>
      </w:r>
    </w:p>
    <w:p w14:paraId="710E7669" w14:textId="5E6EB5CE" w:rsidR="003707E4" w:rsidRPr="005956E7" w:rsidRDefault="003707E4" w:rsidP="005956E7">
      <w:pPr>
        <w:pStyle w:val="ListParagraph"/>
        <w:numPr>
          <w:ilvl w:val="0"/>
          <w:numId w:val="6"/>
        </w:numPr>
        <w:rPr>
          <w:rFonts w:cstheme="minorHAnsi"/>
        </w:rPr>
      </w:pPr>
      <w:r w:rsidRPr="005956E7">
        <w:rPr>
          <w:rFonts w:cstheme="minorHAnsi"/>
        </w:rPr>
        <w:t>UCAS is eng</w:t>
      </w:r>
      <w:r w:rsidR="005956E7" w:rsidRPr="005956E7">
        <w:rPr>
          <w:rFonts w:cstheme="minorHAnsi"/>
        </w:rPr>
        <w:t>aging with the Council for Curriculum, Examinations and Assessment around messaging and support for higher education providers in setting entry requirements.</w:t>
      </w:r>
    </w:p>
    <w:p w14:paraId="58418537" w14:textId="77777777" w:rsidR="005956E7" w:rsidRDefault="005956E7" w:rsidP="004E10D3">
      <w:pPr>
        <w:rPr>
          <w:rFonts w:cstheme="minorHAnsi"/>
        </w:rPr>
      </w:pPr>
    </w:p>
    <w:p w14:paraId="31DEA59A" w14:textId="7D14C9AF" w:rsidR="00856D7D" w:rsidRDefault="00856D7D" w:rsidP="004E10D3">
      <w:pPr>
        <w:rPr>
          <w:rFonts w:cstheme="minorHAnsi"/>
          <w:u w:val="single"/>
        </w:rPr>
      </w:pPr>
      <w:r w:rsidRPr="00856D7D">
        <w:rPr>
          <w:rFonts w:cstheme="minorHAnsi"/>
          <w:u w:val="single"/>
        </w:rPr>
        <w:t>Key issues for providers</w:t>
      </w:r>
    </w:p>
    <w:p w14:paraId="218A4958" w14:textId="41D7D777" w:rsidR="00856D7D" w:rsidRDefault="00856D7D" w:rsidP="004E10D3">
      <w:pPr>
        <w:rPr>
          <w:rFonts w:cstheme="minorHAnsi"/>
        </w:rPr>
      </w:pPr>
      <w:r w:rsidRPr="00856D7D">
        <w:rPr>
          <w:rFonts w:cstheme="minorHAnsi"/>
        </w:rPr>
        <w:t xml:space="preserve">Fewer students are achieving B </w:t>
      </w:r>
      <w:r w:rsidR="003707E4">
        <w:rPr>
          <w:rFonts w:cstheme="minorHAnsi"/>
        </w:rPr>
        <w:t xml:space="preserve">and grade </w:t>
      </w:r>
      <w:r w:rsidRPr="00856D7D">
        <w:rPr>
          <w:rFonts w:cstheme="minorHAnsi"/>
        </w:rPr>
        <w:t>A*</w:t>
      </w:r>
      <w:r w:rsidR="003707E4">
        <w:rPr>
          <w:rFonts w:cstheme="minorHAnsi"/>
        </w:rPr>
        <w:t xml:space="preserve"> - </w:t>
      </w:r>
      <w:proofErr w:type="gramStart"/>
      <w:r w:rsidR="003707E4">
        <w:rPr>
          <w:rFonts w:cstheme="minorHAnsi"/>
        </w:rPr>
        <w:t>impact on</w:t>
      </w:r>
      <w:proofErr w:type="gramEnd"/>
      <w:r w:rsidR="003707E4">
        <w:rPr>
          <w:rFonts w:cstheme="minorHAnsi"/>
        </w:rPr>
        <w:t xml:space="preserve"> higher education providers’ entry requirements.</w:t>
      </w:r>
    </w:p>
    <w:p w14:paraId="3C50CAAC" w14:textId="585861A2" w:rsidR="00856D7D" w:rsidRDefault="00856D7D" w:rsidP="004E10D3">
      <w:pPr>
        <w:rPr>
          <w:rFonts w:cstheme="minorHAnsi"/>
        </w:rPr>
      </w:pPr>
      <w:r>
        <w:rPr>
          <w:rFonts w:cstheme="minorHAnsi"/>
        </w:rPr>
        <w:t>Welsh students continue to follow A* - G</w:t>
      </w:r>
      <w:r w:rsidR="003707E4">
        <w:rPr>
          <w:rFonts w:cstheme="minorHAnsi"/>
        </w:rPr>
        <w:t xml:space="preserve"> but will not align with the Northern Irish scale</w:t>
      </w:r>
    </w:p>
    <w:p w14:paraId="15EDA738" w14:textId="033AAE4A" w:rsidR="00856D7D" w:rsidRDefault="00856D7D" w:rsidP="004E10D3">
      <w:pPr>
        <w:rPr>
          <w:rFonts w:cstheme="minorHAnsi"/>
        </w:rPr>
      </w:pPr>
      <w:r>
        <w:rPr>
          <w:rFonts w:cstheme="minorHAnsi"/>
        </w:rPr>
        <w:t xml:space="preserve">No direct </w:t>
      </w:r>
      <w:r w:rsidR="003707E4">
        <w:rPr>
          <w:rFonts w:cstheme="minorHAnsi"/>
        </w:rPr>
        <w:t>equivalence with</w:t>
      </w:r>
      <w:r>
        <w:rPr>
          <w:rFonts w:cstheme="minorHAnsi"/>
        </w:rPr>
        <w:t xml:space="preserve"> grade 8</w:t>
      </w:r>
    </w:p>
    <w:p w14:paraId="157CDD9D" w14:textId="5D35830A" w:rsidR="00856D7D" w:rsidRDefault="00856D7D" w:rsidP="004E10D3">
      <w:pPr>
        <w:rPr>
          <w:rFonts w:cstheme="minorHAnsi"/>
        </w:rPr>
      </w:pPr>
    </w:p>
    <w:p w14:paraId="68F0FA23" w14:textId="2E6437C1" w:rsidR="00856D7D" w:rsidRPr="00602B65" w:rsidRDefault="00856D7D" w:rsidP="004E10D3">
      <w:pPr>
        <w:rPr>
          <w:rFonts w:cstheme="minorHAnsi"/>
          <w:b/>
          <w:u w:val="single"/>
        </w:rPr>
      </w:pPr>
      <w:r w:rsidRPr="00602B65">
        <w:rPr>
          <w:rFonts w:cstheme="minorHAnsi"/>
          <w:b/>
          <w:u w:val="single"/>
        </w:rPr>
        <w:t xml:space="preserve">Beyond 2019: T levels and more </w:t>
      </w:r>
    </w:p>
    <w:p w14:paraId="67232062" w14:textId="4FFD1175" w:rsidR="00856D7D" w:rsidRPr="00856D7D" w:rsidRDefault="00856D7D" w:rsidP="00856D7D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856D7D">
        <w:rPr>
          <w:rFonts w:asciiTheme="minorHAnsi" w:hAnsiTheme="minorHAnsi" w:cstheme="minorHAnsi"/>
          <w:color w:val="00000B"/>
          <w:lang w:val="en"/>
        </w:rPr>
        <w:t xml:space="preserve">T Levels </w:t>
      </w:r>
      <w:proofErr w:type="gramStart"/>
      <w:r w:rsidRPr="00856D7D">
        <w:rPr>
          <w:rFonts w:asciiTheme="minorHAnsi" w:hAnsiTheme="minorHAnsi" w:cstheme="minorHAnsi"/>
          <w:color w:val="00000B"/>
          <w:lang w:val="en"/>
        </w:rPr>
        <w:t>are designed</w:t>
      </w:r>
      <w:proofErr w:type="gramEnd"/>
      <w:r w:rsidRPr="00856D7D">
        <w:rPr>
          <w:rFonts w:asciiTheme="minorHAnsi" w:hAnsiTheme="minorHAnsi" w:cstheme="minorHAnsi"/>
          <w:color w:val="00000B"/>
          <w:lang w:val="en"/>
        </w:rPr>
        <w:t xml:space="preserve"> to support entry to skilled employment in technical occupations and progression to higher education options, including higher technical qualifications, higher apprenticeships, </w:t>
      </w:r>
      <w:r w:rsidRPr="00856D7D">
        <w:rPr>
          <w:rFonts w:asciiTheme="minorHAnsi" w:hAnsiTheme="minorHAnsi" w:cstheme="minorHAnsi"/>
          <w:color w:val="00000B"/>
          <w:sz w:val="22"/>
          <w:szCs w:val="22"/>
          <w:lang w:val="en"/>
        </w:rPr>
        <w:t>degree</w:t>
      </w:r>
      <w:r w:rsidRPr="00856D7D">
        <w:rPr>
          <w:rFonts w:asciiTheme="minorHAnsi" w:hAnsiTheme="minorHAnsi" w:cstheme="minorHAnsi"/>
          <w:color w:val="00000B"/>
          <w:lang w:val="en"/>
        </w:rPr>
        <w:t xml:space="preserve"> apprenticeships, and degrees. </w:t>
      </w:r>
    </w:p>
    <w:p w14:paraId="499E490F" w14:textId="0FD4C3F2" w:rsidR="00856D7D" w:rsidRDefault="00856D7D" w:rsidP="00856D7D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856D7D">
        <w:rPr>
          <w:rFonts w:asciiTheme="minorHAnsi" w:hAnsiTheme="minorHAnsi" w:cstheme="minorHAnsi"/>
          <w:color w:val="00000B"/>
          <w:lang w:val="en"/>
        </w:rPr>
        <w:t xml:space="preserve">T Levels are not qualifications in their own right, but composite technical study </w:t>
      </w:r>
      <w:r w:rsidR="009B22C4" w:rsidRPr="00856D7D">
        <w:rPr>
          <w:rFonts w:asciiTheme="minorHAnsi" w:hAnsiTheme="minorHAnsi" w:cstheme="minorHAnsi"/>
          <w:color w:val="00000B"/>
          <w:lang w:val="en"/>
        </w:rPr>
        <w:t>programs</w:t>
      </w:r>
      <w:r w:rsidRPr="00856D7D">
        <w:rPr>
          <w:rFonts w:asciiTheme="minorHAnsi" w:hAnsiTheme="minorHAnsi" w:cstheme="minorHAnsi"/>
          <w:color w:val="00000B"/>
          <w:lang w:val="en"/>
        </w:rPr>
        <w:t>, delivered in a classroom setting, and incorporating five key components</w:t>
      </w:r>
      <w:r>
        <w:rPr>
          <w:rFonts w:asciiTheme="minorHAnsi" w:hAnsiTheme="minorHAnsi" w:cstheme="minorHAnsi"/>
          <w:color w:val="00000B"/>
          <w:lang w:val="en"/>
        </w:rPr>
        <w:t xml:space="preserve">. </w:t>
      </w:r>
      <w:r w:rsidR="009B22C4">
        <w:rPr>
          <w:rFonts w:asciiTheme="minorHAnsi" w:hAnsiTheme="minorHAnsi" w:cstheme="minorHAnsi"/>
          <w:color w:val="00000B"/>
          <w:lang w:val="en"/>
        </w:rPr>
        <w:t>This program includes:</w:t>
      </w:r>
    </w:p>
    <w:p w14:paraId="706DC9F7" w14:textId="3D41FA6C" w:rsidR="009B22C4" w:rsidRPr="00C018CA" w:rsidRDefault="009B22C4" w:rsidP="00856D7D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C018CA">
        <w:rPr>
          <w:rFonts w:asciiTheme="minorHAnsi" w:hAnsiTheme="minorHAnsi" w:cstheme="minorHAnsi"/>
          <w:b/>
          <w:color w:val="00000B"/>
          <w:lang w:val="en"/>
        </w:rPr>
        <w:t>Technical qualification:</w:t>
      </w:r>
    </w:p>
    <w:p w14:paraId="2730DD9F" w14:textId="3C6DFC46" w:rsidR="009B22C4" w:rsidRDefault="009B22C4" w:rsidP="00C018CA">
      <w:pPr>
        <w:pStyle w:val="NormalWeb"/>
        <w:numPr>
          <w:ilvl w:val="0"/>
          <w:numId w:val="3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Core theory, concepts and skills for the industry area (Core)</w:t>
      </w:r>
    </w:p>
    <w:p w14:paraId="177CB657" w14:textId="2200E0BF" w:rsidR="009B22C4" w:rsidRDefault="009B22C4" w:rsidP="00C018CA">
      <w:pPr>
        <w:pStyle w:val="NormalWeb"/>
        <w:numPr>
          <w:ilvl w:val="0"/>
          <w:numId w:val="3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lastRenderedPageBreak/>
        <w:t>Specialist skills and knowledge for an occupation or career (Occupational Specialism)</w:t>
      </w:r>
    </w:p>
    <w:p w14:paraId="16BAC29A" w14:textId="275B07C4" w:rsidR="00C018CA" w:rsidRPr="00C018CA" w:rsidRDefault="00C018CA" w:rsidP="00856D7D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C018CA">
        <w:rPr>
          <w:rFonts w:asciiTheme="minorHAnsi" w:hAnsiTheme="minorHAnsi" w:cstheme="minorHAnsi"/>
          <w:b/>
          <w:color w:val="00000B"/>
          <w:lang w:val="en"/>
        </w:rPr>
        <w:t>Industry Placement:</w:t>
      </w:r>
    </w:p>
    <w:p w14:paraId="6A45A5FE" w14:textId="396577F4" w:rsidR="00C018CA" w:rsidRDefault="00C018CA" w:rsidP="00C018CA">
      <w:pPr>
        <w:pStyle w:val="NormalWeb"/>
        <w:numPr>
          <w:ilvl w:val="0"/>
          <w:numId w:val="4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Between 315 and 420 hours</w:t>
      </w:r>
    </w:p>
    <w:p w14:paraId="04B7930D" w14:textId="1E3B8034" w:rsidR="00C018CA" w:rsidRDefault="00C018CA" w:rsidP="00C018CA">
      <w:pPr>
        <w:pStyle w:val="NormalWeb"/>
        <w:numPr>
          <w:ilvl w:val="0"/>
          <w:numId w:val="4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With an employer</w:t>
      </w:r>
    </w:p>
    <w:p w14:paraId="6BB21CC9" w14:textId="0CE3A579" w:rsidR="00C018CA" w:rsidRDefault="00C018CA" w:rsidP="00C018CA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proofErr w:type="spellStart"/>
      <w:r w:rsidRPr="00C018CA">
        <w:rPr>
          <w:rFonts w:asciiTheme="minorHAnsi" w:hAnsiTheme="minorHAnsi" w:cstheme="minorHAnsi"/>
          <w:b/>
          <w:color w:val="00000B"/>
          <w:lang w:val="en"/>
        </w:rPr>
        <w:t>Maths</w:t>
      </w:r>
      <w:proofErr w:type="spellEnd"/>
      <w:r w:rsidRPr="00C018CA">
        <w:rPr>
          <w:rFonts w:asciiTheme="minorHAnsi" w:hAnsiTheme="minorHAnsi" w:cstheme="minorHAnsi"/>
          <w:b/>
          <w:color w:val="00000B"/>
          <w:lang w:val="en"/>
        </w:rPr>
        <w:t xml:space="preserve"> and English</w:t>
      </w:r>
    </w:p>
    <w:p w14:paraId="144FCEE7" w14:textId="6B296438" w:rsidR="00C018CA" w:rsidRDefault="00C018CA" w:rsidP="00C018CA">
      <w:pPr>
        <w:pStyle w:val="NormalWeb"/>
        <w:numPr>
          <w:ilvl w:val="0"/>
          <w:numId w:val="5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C018CA">
        <w:rPr>
          <w:rFonts w:asciiTheme="minorHAnsi" w:hAnsiTheme="minorHAnsi" w:cstheme="minorHAnsi"/>
          <w:color w:val="00000B"/>
          <w:lang w:val="en"/>
        </w:rPr>
        <w:t xml:space="preserve">Minimum standards in </w:t>
      </w:r>
      <w:proofErr w:type="spellStart"/>
      <w:r w:rsidRPr="00C018CA">
        <w:rPr>
          <w:rFonts w:asciiTheme="minorHAnsi" w:hAnsiTheme="minorHAnsi" w:cstheme="minorHAnsi"/>
          <w:color w:val="00000B"/>
          <w:lang w:val="en"/>
        </w:rPr>
        <w:t>maths</w:t>
      </w:r>
      <w:proofErr w:type="spellEnd"/>
      <w:r w:rsidRPr="00C018CA">
        <w:rPr>
          <w:rFonts w:asciiTheme="minorHAnsi" w:hAnsiTheme="minorHAnsi" w:cstheme="minorHAnsi"/>
          <w:color w:val="00000B"/>
          <w:lang w:val="en"/>
        </w:rPr>
        <w:t xml:space="preserve"> and English, if not already achieved prior to embarking on the T Level </w:t>
      </w:r>
      <w:proofErr w:type="spellStart"/>
      <w:r w:rsidRPr="00C018CA">
        <w:rPr>
          <w:rFonts w:asciiTheme="minorHAnsi" w:hAnsiTheme="minorHAnsi" w:cstheme="minorHAnsi"/>
          <w:color w:val="00000B"/>
          <w:lang w:val="en"/>
        </w:rPr>
        <w:t>programme</w:t>
      </w:r>
      <w:proofErr w:type="spellEnd"/>
    </w:p>
    <w:p w14:paraId="2DF6B121" w14:textId="5A260D90" w:rsidR="00C018CA" w:rsidRDefault="00C018CA" w:rsidP="00C018CA">
      <w:pPr>
        <w:pStyle w:val="NormalWeb"/>
        <w:numPr>
          <w:ilvl w:val="0"/>
          <w:numId w:val="5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Could be level 2 (</w:t>
      </w:r>
      <w:proofErr w:type="spellStart"/>
      <w:r>
        <w:rPr>
          <w:rFonts w:asciiTheme="minorHAnsi" w:hAnsiTheme="minorHAnsi" w:cstheme="minorHAnsi"/>
          <w:color w:val="00000B"/>
          <w:lang w:val="en"/>
        </w:rPr>
        <w:t>e.g.GCSE</w:t>
      </w:r>
      <w:proofErr w:type="spellEnd"/>
      <w:r>
        <w:rPr>
          <w:rFonts w:asciiTheme="minorHAnsi" w:hAnsiTheme="minorHAnsi" w:cstheme="minorHAnsi"/>
          <w:color w:val="00000B"/>
          <w:lang w:val="en"/>
        </w:rPr>
        <w:t>/functional skills) or Level 3 depending on the required standards</w:t>
      </w:r>
    </w:p>
    <w:p w14:paraId="00E342E1" w14:textId="3A72EBA0" w:rsid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5956E7">
        <w:rPr>
          <w:rFonts w:asciiTheme="minorHAnsi" w:hAnsiTheme="minorHAnsi" w:cstheme="minorHAnsi"/>
          <w:b/>
          <w:color w:val="00000B"/>
          <w:lang w:val="en"/>
        </w:rPr>
        <w:t xml:space="preserve">Two year, Level 3, college-based provision </w:t>
      </w:r>
    </w:p>
    <w:p w14:paraId="65C63D74" w14:textId="1900CA53" w:rsidR="005956E7" w:rsidRP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5956E7">
        <w:rPr>
          <w:rFonts w:asciiTheme="minorHAnsi" w:hAnsiTheme="minorHAnsi" w:cstheme="minorHAnsi"/>
          <w:color w:val="00000B"/>
          <w:lang w:val="en"/>
        </w:rPr>
        <w:t>High quality technical education provision.</w:t>
      </w:r>
    </w:p>
    <w:p w14:paraId="4E5E9E81" w14:textId="7A3535F5" w:rsid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5956E7">
        <w:rPr>
          <w:rFonts w:asciiTheme="minorHAnsi" w:hAnsiTheme="minorHAnsi" w:cstheme="minorHAnsi"/>
          <w:color w:val="00000B"/>
          <w:lang w:val="en"/>
        </w:rPr>
        <w:t>Approved for delivery in 54 colleges across England</w:t>
      </w:r>
      <w:r>
        <w:rPr>
          <w:rFonts w:asciiTheme="minorHAnsi" w:hAnsiTheme="minorHAnsi" w:cstheme="minorHAnsi"/>
          <w:color w:val="00000B"/>
          <w:lang w:val="en"/>
        </w:rPr>
        <w:t>.</w:t>
      </w:r>
    </w:p>
    <w:p w14:paraId="7BBEACC5" w14:textId="03AE770B" w:rsid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Offered after GCSE, alongside ‘A’ levels and apprenticeships.</w:t>
      </w:r>
    </w:p>
    <w:p w14:paraId="57199D63" w14:textId="01DC92CE" w:rsid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5956E7">
        <w:rPr>
          <w:rFonts w:asciiTheme="minorHAnsi" w:hAnsiTheme="minorHAnsi" w:cstheme="minorHAnsi"/>
          <w:b/>
          <w:color w:val="00000B"/>
          <w:lang w:val="en"/>
        </w:rPr>
        <w:t>Fifteen new routes, with pathways underneath</w:t>
      </w:r>
    </w:p>
    <w:p w14:paraId="05F890ED" w14:textId="3AD9B2D0" w:rsid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>
        <w:rPr>
          <w:rFonts w:asciiTheme="minorHAnsi" w:hAnsiTheme="minorHAnsi" w:cstheme="minorHAnsi"/>
          <w:b/>
          <w:color w:val="00000B"/>
          <w:lang w:val="en"/>
        </w:rPr>
        <w:t>2020</w:t>
      </w:r>
    </w:p>
    <w:p w14:paraId="4CADB518" w14:textId="12DA2EEA" w:rsid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5956E7">
        <w:rPr>
          <w:rFonts w:asciiTheme="minorHAnsi" w:hAnsiTheme="minorHAnsi" w:cstheme="minorHAnsi"/>
          <w:color w:val="00000B"/>
          <w:lang w:val="en"/>
        </w:rPr>
        <w:t>Digital pro</w:t>
      </w:r>
      <w:r>
        <w:rPr>
          <w:rFonts w:asciiTheme="minorHAnsi" w:hAnsiTheme="minorHAnsi" w:cstheme="minorHAnsi"/>
          <w:color w:val="00000B"/>
          <w:lang w:val="en"/>
        </w:rPr>
        <w:t>duction, design and development</w:t>
      </w:r>
      <w:r w:rsidRPr="005956E7">
        <w:rPr>
          <w:rFonts w:asciiTheme="minorHAnsi" w:hAnsiTheme="minorHAnsi" w:cstheme="minorHAnsi"/>
          <w:color w:val="00000B"/>
          <w:lang w:val="en"/>
        </w:rPr>
        <w:t>; design, surveying and planning education</w:t>
      </w:r>
    </w:p>
    <w:p w14:paraId="57468173" w14:textId="21364F94" w:rsidR="005956E7" w:rsidRPr="00602B65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602B65">
        <w:rPr>
          <w:rFonts w:asciiTheme="minorHAnsi" w:hAnsiTheme="minorHAnsi" w:cstheme="minorHAnsi"/>
          <w:b/>
          <w:color w:val="00000B"/>
          <w:lang w:val="en"/>
        </w:rPr>
        <w:t>2021</w:t>
      </w:r>
    </w:p>
    <w:p w14:paraId="3B97A759" w14:textId="7F3E6D21" w:rsidR="005956E7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Health; healthcare science; science; onsite construction; building services engineering; digital and support services; digital business services</w:t>
      </w:r>
    </w:p>
    <w:p w14:paraId="18ED8EF1" w14:textId="4B3004C6" w:rsidR="005956E7" w:rsidRPr="00602B65" w:rsidRDefault="005956E7" w:rsidP="005956E7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602B65">
        <w:rPr>
          <w:rFonts w:asciiTheme="minorHAnsi" w:hAnsiTheme="minorHAnsi" w:cstheme="minorHAnsi"/>
          <w:b/>
          <w:color w:val="00000B"/>
          <w:lang w:val="en"/>
        </w:rPr>
        <w:t>TBC</w:t>
      </w:r>
    </w:p>
    <w:p w14:paraId="0C3409F5" w14:textId="4321B540" w:rsidR="005956E7" w:rsidRDefault="00776755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Accountancy;</w:t>
      </w:r>
      <w:r w:rsidR="00602B65">
        <w:rPr>
          <w:rFonts w:asciiTheme="minorHAnsi" w:hAnsiTheme="minorHAnsi" w:cstheme="minorHAnsi"/>
          <w:color w:val="00000B"/>
          <w:lang w:val="en"/>
        </w:rPr>
        <w:t xml:space="preserve"> </w:t>
      </w:r>
      <w:r>
        <w:rPr>
          <w:rFonts w:asciiTheme="minorHAnsi" w:hAnsiTheme="minorHAnsi" w:cstheme="minorHAnsi"/>
          <w:color w:val="00000B"/>
          <w:lang w:val="en"/>
        </w:rPr>
        <w:t>agriculture;</w:t>
      </w:r>
      <w:r w:rsidR="00602B65">
        <w:rPr>
          <w:rFonts w:asciiTheme="minorHAnsi" w:hAnsiTheme="minorHAnsi" w:cstheme="minorHAnsi"/>
          <w:color w:val="00000B"/>
          <w:lang w:val="en"/>
        </w:rPr>
        <w:t xml:space="preserve"> </w:t>
      </w:r>
      <w:r>
        <w:rPr>
          <w:rFonts w:asciiTheme="minorHAnsi" w:hAnsiTheme="minorHAnsi" w:cstheme="minorHAnsi"/>
          <w:color w:val="00000B"/>
          <w:lang w:val="en"/>
        </w:rPr>
        <w:t xml:space="preserve">animal care and management; catering; </w:t>
      </w:r>
      <w:proofErr w:type="gramStart"/>
      <w:r>
        <w:rPr>
          <w:rFonts w:asciiTheme="minorHAnsi" w:hAnsiTheme="minorHAnsi" w:cstheme="minorHAnsi"/>
          <w:color w:val="00000B"/>
          <w:lang w:val="en"/>
        </w:rPr>
        <w:t>craft</w:t>
      </w:r>
      <w:proofErr w:type="gramEnd"/>
      <w:r>
        <w:rPr>
          <w:rFonts w:asciiTheme="minorHAnsi" w:hAnsiTheme="minorHAnsi" w:cstheme="minorHAnsi"/>
          <w:color w:val="00000B"/>
          <w:lang w:val="en"/>
        </w:rPr>
        <w:t xml:space="preserve"> and design</w:t>
      </w:r>
      <w:r w:rsidR="00602B65">
        <w:rPr>
          <w:rFonts w:asciiTheme="minorHAnsi" w:hAnsiTheme="minorHAnsi" w:cstheme="minorHAnsi"/>
          <w:color w:val="00000B"/>
          <w:lang w:val="en"/>
        </w:rPr>
        <w:t>; human resources; legal and many more.</w:t>
      </w:r>
    </w:p>
    <w:p w14:paraId="7F33421F" w14:textId="2C1B32A0" w:rsidR="00602B65" w:rsidRPr="00602B65" w:rsidRDefault="00602B65" w:rsidP="005956E7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602B65">
        <w:rPr>
          <w:rFonts w:asciiTheme="minorHAnsi" w:hAnsiTheme="minorHAnsi" w:cstheme="minorHAnsi"/>
          <w:b/>
          <w:color w:val="00000B"/>
          <w:lang w:val="en"/>
        </w:rPr>
        <w:t>How is a T level assessed/graded</w:t>
      </w:r>
    </w:p>
    <w:p w14:paraId="2A71F247" w14:textId="77F0E3C8" w:rsidR="00602B65" w:rsidRPr="00602B65" w:rsidRDefault="00602B65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602B65">
        <w:rPr>
          <w:rFonts w:asciiTheme="minorHAnsi" w:hAnsiTheme="minorHAnsi" w:cstheme="minorHAnsi"/>
          <w:color w:val="00000B"/>
          <w:lang w:val="en"/>
        </w:rPr>
        <w:t>Technical qualification</w:t>
      </w:r>
    </w:p>
    <w:p w14:paraId="6F5F6EE2" w14:textId="0FDA9E3D" w:rsidR="00602B65" w:rsidRDefault="00602B65" w:rsidP="00602B65">
      <w:pPr>
        <w:pStyle w:val="NormalWeb"/>
        <w:numPr>
          <w:ilvl w:val="0"/>
          <w:numId w:val="7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Core: external examination and employer-set project, graded A*-E</w:t>
      </w:r>
    </w:p>
    <w:p w14:paraId="50F53458" w14:textId="41BF26F0" w:rsidR="00602B65" w:rsidRDefault="00602B65" w:rsidP="00602B65">
      <w:pPr>
        <w:pStyle w:val="NormalWeb"/>
        <w:numPr>
          <w:ilvl w:val="0"/>
          <w:numId w:val="7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Occupational Specialism: synoptic assessment, graded pass, merit or distinction</w:t>
      </w:r>
    </w:p>
    <w:p w14:paraId="5D45A4B8" w14:textId="6DAA3D18" w:rsidR="00602B65" w:rsidRPr="00602B65" w:rsidRDefault="00602B65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602B65">
        <w:rPr>
          <w:rFonts w:asciiTheme="minorHAnsi" w:hAnsiTheme="minorHAnsi" w:cstheme="minorHAnsi"/>
          <w:color w:val="00000B"/>
          <w:lang w:val="en"/>
        </w:rPr>
        <w:t>Industry placement</w:t>
      </w:r>
    </w:p>
    <w:p w14:paraId="36F6BF4D" w14:textId="41386F7B" w:rsidR="00602B65" w:rsidRDefault="00602B65" w:rsidP="00602B65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Employer reference</w:t>
      </w:r>
    </w:p>
    <w:p w14:paraId="2D19A005" w14:textId="47B03996" w:rsidR="00602B65" w:rsidRPr="00602B65" w:rsidRDefault="00602B65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proofErr w:type="spellStart"/>
      <w:r w:rsidRPr="00602B65">
        <w:rPr>
          <w:rFonts w:asciiTheme="minorHAnsi" w:hAnsiTheme="minorHAnsi" w:cstheme="minorHAnsi"/>
          <w:color w:val="00000B"/>
          <w:lang w:val="en"/>
        </w:rPr>
        <w:lastRenderedPageBreak/>
        <w:t>Maths</w:t>
      </w:r>
      <w:proofErr w:type="spellEnd"/>
      <w:r w:rsidRPr="00602B65">
        <w:rPr>
          <w:rFonts w:asciiTheme="minorHAnsi" w:hAnsiTheme="minorHAnsi" w:cstheme="minorHAnsi"/>
          <w:color w:val="00000B"/>
          <w:lang w:val="en"/>
        </w:rPr>
        <w:t xml:space="preserve"> and English</w:t>
      </w:r>
    </w:p>
    <w:p w14:paraId="4E9E1000" w14:textId="15BE10FB" w:rsidR="00602B65" w:rsidRDefault="00602B65" w:rsidP="00602B65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Will vary depending on the qualifications taken (if applicable)</w:t>
      </w:r>
    </w:p>
    <w:p w14:paraId="379E2F0C" w14:textId="11470854" w:rsidR="00602B65" w:rsidRDefault="00602B65" w:rsidP="005956E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Overall</w:t>
      </w:r>
    </w:p>
    <w:p w14:paraId="6D174A91" w14:textId="53212769" w:rsidR="00602B65" w:rsidRDefault="00602B65" w:rsidP="00602B65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If a student achieves all of the components, they will be given an overall T level grade of pass, merit or distinction</w:t>
      </w:r>
    </w:p>
    <w:p w14:paraId="39F1BFD3" w14:textId="51F3E517" w:rsidR="00D40D88" w:rsidRPr="00D40D88" w:rsidRDefault="00D40D88" w:rsidP="00D40D88">
      <w:pPr>
        <w:pStyle w:val="NormalWeb"/>
        <w:spacing w:line="411" w:lineRule="atLeast"/>
        <w:rPr>
          <w:rFonts w:asciiTheme="minorHAnsi" w:hAnsiTheme="minorHAnsi" w:cstheme="minorHAnsi"/>
          <w:b/>
          <w:color w:val="00000B"/>
          <w:lang w:val="en"/>
        </w:rPr>
      </w:pPr>
      <w:r w:rsidRPr="00D40D88">
        <w:rPr>
          <w:rFonts w:asciiTheme="minorHAnsi" w:hAnsiTheme="minorHAnsi" w:cstheme="minorHAnsi"/>
          <w:b/>
          <w:color w:val="00000B"/>
          <w:lang w:val="en"/>
        </w:rPr>
        <w:t>How is UCAS supporting?</w:t>
      </w:r>
    </w:p>
    <w:p w14:paraId="14A87927" w14:textId="4C9A6AC3" w:rsidR="00D40D88" w:rsidRDefault="00D40D88" w:rsidP="00D40D88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Consultation response (early 2018)</w:t>
      </w:r>
    </w:p>
    <w:p w14:paraId="5AFE9C65" w14:textId="5DFECB83" w:rsidR="00D40D88" w:rsidRDefault="00D40D88" w:rsidP="00D40D88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Engaging with the Dept. for Education and Institute for Apprenticeships regarding T Level content.</w:t>
      </w:r>
    </w:p>
    <w:p w14:paraId="12D2369C" w14:textId="4D4B2001" w:rsidR="00D40D88" w:rsidRDefault="00D40D88" w:rsidP="00D40D88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 xml:space="preserve">Facilitating </w:t>
      </w:r>
      <w:proofErr w:type="gramStart"/>
      <w:r>
        <w:rPr>
          <w:rFonts w:asciiTheme="minorHAnsi" w:hAnsiTheme="minorHAnsi" w:cstheme="minorHAnsi"/>
          <w:color w:val="00000B"/>
          <w:lang w:val="en"/>
        </w:rPr>
        <w:t>engagement  between</w:t>
      </w:r>
      <w:proofErr w:type="gramEnd"/>
      <w:r>
        <w:rPr>
          <w:rFonts w:asciiTheme="minorHAnsi" w:hAnsiTheme="minorHAnsi" w:cstheme="minorHAnsi"/>
          <w:color w:val="00000B"/>
          <w:lang w:val="en"/>
        </w:rPr>
        <w:t xml:space="preserve"> HE admissions  and the Department.</w:t>
      </w:r>
    </w:p>
    <w:p w14:paraId="56179E8E" w14:textId="7349C11C" w:rsidR="00D40D88" w:rsidRDefault="00D40D88" w:rsidP="00D40D88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Sharing T Level intelligence.</w:t>
      </w:r>
    </w:p>
    <w:p w14:paraId="6F823752" w14:textId="3392E84B" w:rsidR="00D40D88" w:rsidRDefault="00D40D88" w:rsidP="00D40D88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UCAS tariff points and T Levels.</w:t>
      </w:r>
    </w:p>
    <w:p w14:paraId="25E64623" w14:textId="6A392BFD" w:rsidR="00D40D88" w:rsidRDefault="00D40D88" w:rsidP="00D40D88">
      <w:pPr>
        <w:pStyle w:val="NormalWeb"/>
        <w:numPr>
          <w:ilvl w:val="0"/>
          <w:numId w:val="8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proofErr w:type="gramStart"/>
      <w:r>
        <w:rPr>
          <w:rFonts w:asciiTheme="minorHAnsi" w:hAnsiTheme="minorHAnsi" w:cstheme="minorHAnsi"/>
          <w:color w:val="00000B"/>
          <w:lang w:val="en"/>
        </w:rPr>
        <w:t>Broadly</w:t>
      </w:r>
      <w:proofErr w:type="gramEnd"/>
      <w:r>
        <w:rPr>
          <w:rFonts w:asciiTheme="minorHAnsi" w:hAnsiTheme="minorHAnsi" w:cstheme="minorHAnsi"/>
          <w:color w:val="00000B"/>
          <w:lang w:val="en"/>
        </w:rPr>
        <w:t xml:space="preserve"> in line with 3 ‘A’ levels, to reflect the size and complexity of the </w:t>
      </w:r>
      <w:proofErr w:type="spellStart"/>
      <w:r>
        <w:rPr>
          <w:rFonts w:asciiTheme="minorHAnsi" w:hAnsiTheme="minorHAnsi" w:cstheme="minorHAnsi"/>
          <w:color w:val="00000B"/>
          <w:lang w:val="en"/>
        </w:rPr>
        <w:t>programme</w:t>
      </w:r>
      <w:proofErr w:type="spellEnd"/>
      <w:r>
        <w:rPr>
          <w:rFonts w:asciiTheme="minorHAnsi" w:hAnsiTheme="minorHAnsi" w:cstheme="minorHAnsi"/>
          <w:color w:val="00000B"/>
          <w:lang w:val="en"/>
        </w:rPr>
        <w:t>.</w:t>
      </w:r>
    </w:p>
    <w:p w14:paraId="32F3E186" w14:textId="1241D91E" w:rsidR="00D40D88" w:rsidRDefault="00D40D88" w:rsidP="00D40D88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Key issues for admissions practitioners</w:t>
      </w:r>
    </w:p>
    <w:p w14:paraId="265B4C60" w14:textId="1E09C08E" w:rsidR="00D40D88" w:rsidRDefault="00D40D88" w:rsidP="00F235F2">
      <w:pPr>
        <w:pStyle w:val="NormalWeb"/>
        <w:numPr>
          <w:ilvl w:val="0"/>
          <w:numId w:val="9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Binary choice</w:t>
      </w:r>
      <w:r w:rsidR="00F235F2">
        <w:rPr>
          <w:rFonts w:asciiTheme="minorHAnsi" w:hAnsiTheme="minorHAnsi" w:cstheme="minorHAnsi"/>
          <w:color w:val="00000B"/>
          <w:lang w:val="en"/>
        </w:rPr>
        <w:t xml:space="preserve"> or accept a mix</w:t>
      </w:r>
      <w:r>
        <w:rPr>
          <w:rFonts w:asciiTheme="minorHAnsi" w:hAnsiTheme="minorHAnsi" w:cstheme="minorHAnsi"/>
          <w:color w:val="00000B"/>
          <w:lang w:val="en"/>
        </w:rPr>
        <w:t>?</w:t>
      </w:r>
    </w:p>
    <w:p w14:paraId="772CD8F4" w14:textId="72202DC2" w:rsidR="00F235F2" w:rsidRDefault="00F235F2" w:rsidP="00F235F2">
      <w:pPr>
        <w:pStyle w:val="NormalWeb"/>
        <w:numPr>
          <w:ilvl w:val="0"/>
          <w:numId w:val="9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The importance of bridging provision between academic and vocational routes at Level 3.</w:t>
      </w:r>
    </w:p>
    <w:p w14:paraId="57884D08" w14:textId="490C4076" w:rsidR="00F235F2" w:rsidRDefault="00F235F2" w:rsidP="00F235F2">
      <w:pPr>
        <w:pStyle w:val="NormalWeb"/>
        <w:numPr>
          <w:ilvl w:val="0"/>
          <w:numId w:val="9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 xml:space="preserve">Suitability of T Levels for progression to </w:t>
      </w:r>
      <w:proofErr w:type="gramStart"/>
      <w:r>
        <w:rPr>
          <w:rFonts w:asciiTheme="minorHAnsi" w:hAnsiTheme="minorHAnsi" w:cstheme="minorHAnsi"/>
          <w:color w:val="00000B"/>
          <w:lang w:val="en"/>
        </w:rPr>
        <w:t>HE</w:t>
      </w:r>
      <w:proofErr w:type="gramEnd"/>
      <w:r>
        <w:rPr>
          <w:rFonts w:asciiTheme="minorHAnsi" w:hAnsiTheme="minorHAnsi" w:cstheme="minorHAnsi"/>
          <w:color w:val="00000B"/>
          <w:lang w:val="en"/>
        </w:rPr>
        <w:t>.</w:t>
      </w:r>
    </w:p>
    <w:p w14:paraId="7611D0F2" w14:textId="7A9D7FEF" w:rsidR="00F235F2" w:rsidRDefault="00F235F2" w:rsidP="00F235F2">
      <w:pPr>
        <w:pStyle w:val="NormalWeb"/>
        <w:numPr>
          <w:ilvl w:val="0"/>
          <w:numId w:val="9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Difference in content in T levels – is the core transferable?</w:t>
      </w:r>
    </w:p>
    <w:p w14:paraId="63822779" w14:textId="4997DCD7" w:rsidR="005956E7" w:rsidRDefault="00F235F2" w:rsidP="00793357">
      <w:pPr>
        <w:pStyle w:val="NormalWeb"/>
        <w:numPr>
          <w:ilvl w:val="0"/>
          <w:numId w:val="9"/>
        </w:numPr>
        <w:spacing w:line="411" w:lineRule="atLeast"/>
        <w:rPr>
          <w:rFonts w:asciiTheme="minorHAnsi" w:hAnsiTheme="minorHAnsi" w:cstheme="minorHAnsi"/>
          <w:color w:val="00000B"/>
          <w:lang w:val="en"/>
        </w:rPr>
      </w:pPr>
      <w:r w:rsidRPr="00793357">
        <w:rPr>
          <w:rFonts w:asciiTheme="minorHAnsi" w:hAnsiTheme="minorHAnsi" w:cstheme="minorHAnsi"/>
          <w:color w:val="00000B"/>
          <w:lang w:val="en"/>
        </w:rPr>
        <w:t>Different grading structures.</w:t>
      </w:r>
    </w:p>
    <w:p w14:paraId="61FFFE05" w14:textId="3DCC8F7E" w:rsidR="00793357" w:rsidRDefault="00793357" w:rsidP="0079335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</w:p>
    <w:p w14:paraId="002A4032" w14:textId="7B7ECFD9" w:rsidR="00793357" w:rsidRPr="00793357" w:rsidRDefault="00793357" w:rsidP="00793357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  <w:r>
        <w:rPr>
          <w:rFonts w:asciiTheme="minorHAnsi" w:hAnsiTheme="minorHAnsi" w:cstheme="minorHAnsi"/>
          <w:color w:val="00000B"/>
          <w:lang w:val="en"/>
        </w:rPr>
        <w:t>Note taker:  Maria Simmons, Recruitment Officer, CU Scarborough</w:t>
      </w:r>
    </w:p>
    <w:p w14:paraId="60D80433" w14:textId="1DD1774E" w:rsidR="005956E7" w:rsidRDefault="005956E7" w:rsidP="005956E7">
      <w:pPr>
        <w:pStyle w:val="NormalWeb"/>
        <w:spacing w:line="411" w:lineRule="atLeast"/>
        <w:ind w:left="360"/>
        <w:rPr>
          <w:rFonts w:asciiTheme="minorHAnsi" w:hAnsiTheme="minorHAnsi" w:cstheme="minorHAnsi"/>
          <w:color w:val="00000B"/>
          <w:lang w:val="en"/>
        </w:rPr>
      </w:pPr>
    </w:p>
    <w:p w14:paraId="37C03866" w14:textId="77777777" w:rsidR="00C018CA" w:rsidRPr="00C018CA" w:rsidRDefault="00C018CA" w:rsidP="00C018CA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</w:p>
    <w:p w14:paraId="17A59B4F" w14:textId="77777777" w:rsidR="00C018CA" w:rsidRDefault="00C018CA" w:rsidP="00C018CA">
      <w:pPr>
        <w:pStyle w:val="NormalWeb"/>
        <w:spacing w:line="411" w:lineRule="atLeast"/>
        <w:ind w:left="720"/>
        <w:jc w:val="both"/>
        <w:rPr>
          <w:rFonts w:asciiTheme="minorHAnsi" w:hAnsiTheme="minorHAnsi" w:cstheme="minorHAnsi"/>
          <w:color w:val="00000B"/>
          <w:lang w:val="en"/>
        </w:rPr>
      </w:pPr>
    </w:p>
    <w:p w14:paraId="521BED66" w14:textId="77777777" w:rsidR="00856D7D" w:rsidRPr="00856D7D" w:rsidRDefault="00856D7D" w:rsidP="00856D7D">
      <w:pPr>
        <w:pStyle w:val="NormalWeb"/>
        <w:spacing w:line="411" w:lineRule="atLeast"/>
        <w:rPr>
          <w:rFonts w:asciiTheme="minorHAnsi" w:hAnsiTheme="minorHAnsi" w:cstheme="minorHAnsi"/>
          <w:color w:val="00000B"/>
          <w:lang w:val="en"/>
        </w:rPr>
      </w:pPr>
    </w:p>
    <w:p w14:paraId="55BBC572" w14:textId="77777777" w:rsidR="00856D7D" w:rsidRPr="00856D7D" w:rsidRDefault="00856D7D" w:rsidP="004E10D3">
      <w:pPr>
        <w:rPr>
          <w:rFonts w:cstheme="minorHAnsi"/>
          <w:u w:val="single"/>
        </w:rPr>
      </w:pPr>
    </w:p>
    <w:p w14:paraId="48C3F61C" w14:textId="77777777" w:rsidR="005A3894" w:rsidRPr="00856D7D" w:rsidRDefault="005A3894" w:rsidP="004E10D3">
      <w:pPr>
        <w:rPr>
          <w:rFonts w:cstheme="minorHAnsi"/>
          <w:u w:val="single"/>
        </w:rPr>
      </w:pPr>
      <w:bookmarkStart w:id="0" w:name="_GoBack"/>
      <w:bookmarkEnd w:id="0"/>
    </w:p>
    <w:sectPr w:rsidR="005A3894" w:rsidRPr="00856D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9DFE3" w14:textId="77777777" w:rsidR="00B616C6" w:rsidRDefault="00B616C6" w:rsidP="00B616C6">
      <w:pPr>
        <w:spacing w:after="0" w:line="240" w:lineRule="auto"/>
      </w:pPr>
      <w:r>
        <w:separator/>
      </w:r>
    </w:p>
  </w:endnote>
  <w:endnote w:type="continuationSeparator" w:id="0">
    <w:p w14:paraId="2475257B" w14:textId="77777777" w:rsidR="00B616C6" w:rsidRDefault="00B616C6" w:rsidP="00B6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4EE4" w14:textId="77777777" w:rsidR="00B616C6" w:rsidRDefault="00B616C6" w:rsidP="00B616C6">
      <w:pPr>
        <w:spacing w:after="0" w:line="240" w:lineRule="auto"/>
      </w:pPr>
      <w:r>
        <w:separator/>
      </w:r>
    </w:p>
  </w:footnote>
  <w:footnote w:type="continuationSeparator" w:id="0">
    <w:p w14:paraId="77B1AF93" w14:textId="77777777" w:rsidR="00B616C6" w:rsidRDefault="00B616C6" w:rsidP="00B6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3398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25039C" w14:textId="315D2285" w:rsidR="00B616C6" w:rsidRDefault="00B616C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8D2C5F8" w14:textId="77777777" w:rsidR="00B616C6" w:rsidRDefault="00B61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49"/>
    <w:multiLevelType w:val="hybridMultilevel"/>
    <w:tmpl w:val="AAF60E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0B55"/>
    <w:multiLevelType w:val="hybridMultilevel"/>
    <w:tmpl w:val="ED40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26BB2"/>
    <w:multiLevelType w:val="hybridMultilevel"/>
    <w:tmpl w:val="EF02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7555"/>
    <w:multiLevelType w:val="hybridMultilevel"/>
    <w:tmpl w:val="36CE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33B0"/>
    <w:multiLevelType w:val="hybridMultilevel"/>
    <w:tmpl w:val="38F44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41387"/>
    <w:multiLevelType w:val="hybridMultilevel"/>
    <w:tmpl w:val="26EE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A7CB9"/>
    <w:multiLevelType w:val="hybridMultilevel"/>
    <w:tmpl w:val="DAD8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D36AC"/>
    <w:multiLevelType w:val="hybridMultilevel"/>
    <w:tmpl w:val="4B6CC7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73E60"/>
    <w:multiLevelType w:val="hybridMultilevel"/>
    <w:tmpl w:val="3C64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52"/>
    <w:rsid w:val="0031506F"/>
    <w:rsid w:val="00361D3A"/>
    <w:rsid w:val="003707E4"/>
    <w:rsid w:val="004E10D3"/>
    <w:rsid w:val="005956E7"/>
    <w:rsid w:val="005A3894"/>
    <w:rsid w:val="00602B65"/>
    <w:rsid w:val="006C21CE"/>
    <w:rsid w:val="00776755"/>
    <w:rsid w:val="00793357"/>
    <w:rsid w:val="00856D7D"/>
    <w:rsid w:val="009B22C4"/>
    <w:rsid w:val="009F3052"/>
    <w:rsid w:val="00A221F2"/>
    <w:rsid w:val="00B616C6"/>
    <w:rsid w:val="00C018CA"/>
    <w:rsid w:val="00C1011E"/>
    <w:rsid w:val="00D11AC4"/>
    <w:rsid w:val="00D40D88"/>
    <w:rsid w:val="00D65DBA"/>
    <w:rsid w:val="00D67612"/>
    <w:rsid w:val="00DA1DD9"/>
    <w:rsid w:val="00DF4985"/>
    <w:rsid w:val="00F235F2"/>
    <w:rsid w:val="00F34E79"/>
    <w:rsid w:val="00F51492"/>
    <w:rsid w:val="00F9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B4196"/>
  <w15:chartTrackingRefBased/>
  <w15:docId w15:val="{7B52629C-3A9F-441D-B3B8-D44DAD51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7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6D7D"/>
    <w:pPr>
      <w:spacing w:after="103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6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6"/>
  </w:style>
  <w:style w:type="paragraph" w:styleId="Footer">
    <w:name w:val="footer"/>
    <w:basedOn w:val="Normal"/>
    <w:link w:val="FooterChar"/>
    <w:uiPriority w:val="99"/>
    <w:unhideWhenUsed/>
    <w:rsid w:val="00B61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0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20509">
                                  <w:marLeft w:val="0"/>
                                  <w:marRight w:val="0"/>
                                  <w:marTop w:val="0"/>
                                  <w:marBottom w:val="4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6C86-D182-4295-B1B9-5E32DEE6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Simmons</dc:creator>
  <cp:keywords/>
  <dc:description/>
  <cp:lastModifiedBy>Maria Simmons</cp:lastModifiedBy>
  <cp:revision>9</cp:revision>
  <dcterms:created xsi:type="dcterms:W3CDTF">2019-02-07T16:00:00Z</dcterms:created>
  <dcterms:modified xsi:type="dcterms:W3CDTF">2019-02-15T12:12:00Z</dcterms:modified>
</cp:coreProperties>
</file>